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A03" w14:textId="41509F6B" w:rsidR="00AC656D" w:rsidRPr="00AC656D" w:rsidRDefault="00447569" w:rsidP="00AC656D">
      <w:pPr>
        <w:autoSpaceDE w:val="0"/>
        <w:autoSpaceDN w:val="0"/>
        <w:adjustRightInd w:val="0"/>
        <w:spacing w:before="0" w:after="0" w:line="23" w:lineRule="atLeast"/>
        <w:ind w:left="-180" w:right="-180"/>
        <w:jc w:val="center"/>
        <w:rPr>
          <w:rFonts w:ascii="Century Gothic" w:eastAsia="Calibri" w:hAnsi="Century Gothic" w:cs="Arial"/>
          <w:b/>
          <w:color w:val="000000"/>
          <w:sz w:val="32"/>
          <w:szCs w:val="32"/>
        </w:rPr>
      </w:pPr>
      <w:r>
        <w:rPr>
          <w:rFonts w:ascii="Century Gothic" w:eastAsia="Calibri" w:hAnsi="Century Gothic" w:cs="Arial"/>
          <w:b/>
          <w:color w:val="000000"/>
          <w:sz w:val="32"/>
          <w:szCs w:val="32"/>
        </w:rPr>
        <w:t>Appendix E</w:t>
      </w:r>
      <w:r w:rsidR="00AC656D" w:rsidRPr="00AC656D">
        <w:rPr>
          <w:rFonts w:ascii="Century Gothic" w:eastAsia="Calibri" w:hAnsi="Century Gothic" w:cs="Arial"/>
          <w:b/>
          <w:color w:val="000000"/>
          <w:sz w:val="32"/>
          <w:szCs w:val="32"/>
        </w:rPr>
        <w:t xml:space="preserve">: </w:t>
      </w:r>
    </w:p>
    <w:p w14:paraId="16B5B026" w14:textId="77777777" w:rsidR="007C3387" w:rsidRDefault="007C3387" w:rsidP="00B27635">
      <w:pPr>
        <w:autoSpaceDE w:val="0"/>
        <w:autoSpaceDN w:val="0"/>
        <w:adjustRightInd w:val="0"/>
        <w:spacing w:line="23" w:lineRule="atLeast"/>
        <w:ind w:left="-180" w:right="-180"/>
        <w:jc w:val="center"/>
        <w:rPr>
          <w:rFonts w:ascii="Century Gothic" w:hAnsi="Century Gothic" w:cs="Arial"/>
          <w:b/>
          <w:sz w:val="32"/>
          <w:szCs w:val="38"/>
        </w:rPr>
      </w:pPr>
    </w:p>
    <w:p w14:paraId="43C39EDC" w14:textId="1EC56B64" w:rsidR="00B27635" w:rsidRDefault="00B27635" w:rsidP="00B27635">
      <w:pPr>
        <w:autoSpaceDE w:val="0"/>
        <w:autoSpaceDN w:val="0"/>
        <w:adjustRightInd w:val="0"/>
        <w:spacing w:line="23" w:lineRule="atLeast"/>
        <w:ind w:left="-180" w:right="-180"/>
        <w:jc w:val="center"/>
        <w:rPr>
          <w:rFonts w:ascii="Century Gothic" w:hAnsi="Century Gothic" w:cs="Arial"/>
          <w:b/>
          <w:sz w:val="32"/>
          <w:szCs w:val="38"/>
        </w:rPr>
      </w:pPr>
      <w:r w:rsidRPr="004D59DE">
        <w:rPr>
          <w:rFonts w:ascii="Century Gothic" w:hAnsi="Century Gothic" w:cs="Arial"/>
          <w:b/>
          <w:sz w:val="32"/>
          <w:szCs w:val="38"/>
        </w:rPr>
        <w:t>Sample Contract – External Evaluator</w:t>
      </w:r>
    </w:p>
    <w:p w14:paraId="477163C6" w14:textId="77777777" w:rsidR="00B27635" w:rsidRPr="004D59DE" w:rsidRDefault="00B27635" w:rsidP="00A656A7">
      <w:pPr>
        <w:jc w:val="center"/>
        <w:rPr>
          <w:rFonts w:ascii="Century Gothic" w:hAnsi="Century Gothic" w:cstheme="minorHAnsi"/>
          <w:b/>
          <w:sz w:val="24"/>
          <w:szCs w:val="24"/>
        </w:rPr>
      </w:pPr>
    </w:p>
    <w:p w14:paraId="640D8190" w14:textId="5E21FEBD" w:rsidR="00C06162" w:rsidRDefault="00B27635" w:rsidP="00E6121B">
      <w:pPr>
        <w:rPr>
          <w:rFonts w:ascii="Century Gothic" w:eastAsia="Calibri" w:hAnsi="Century Gothic"/>
        </w:rPr>
      </w:pPr>
      <w:r w:rsidRPr="004D59DE">
        <w:rPr>
          <w:rFonts w:ascii="Century Gothic" w:eastAsia="Calibri" w:hAnsi="Century Gothic"/>
        </w:rPr>
        <w:t>When contracti</w:t>
      </w:r>
      <w:r w:rsidR="009824D6">
        <w:rPr>
          <w:rFonts w:ascii="Century Gothic" w:eastAsia="Calibri" w:hAnsi="Century Gothic"/>
        </w:rPr>
        <w:t xml:space="preserve">ng with an External Evaluator, </w:t>
      </w:r>
      <w:r w:rsidR="005D7A5F">
        <w:rPr>
          <w:rFonts w:ascii="Century Gothic" w:eastAsia="Calibri" w:hAnsi="Century Gothic"/>
        </w:rPr>
        <w:t xml:space="preserve">California Tobacco Control Program (CTCP)-funded </w:t>
      </w:r>
      <w:r w:rsidR="009824D6">
        <w:rPr>
          <w:rFonts w:ascii="Century Gothic" w:eastAsia="Calibri" w:hAnsi="Century Gothic"/>
        </w:rPr>
        <w:t>projects</w:t>
      </w:r>
      <w:r w:rsidRPr="004D59DE">
        <w:rPr>
          <w:rFonts w:ascii="Century Gothic" w:eastAsia="Calibri" w:hAnsi="Century Gothic"/>
        </w:rPr>
        <w:t xml:space="preserve"> can establish a 1-year contract or multi-year contract, </w:t>
      </w:r>
      <w:r w:rsidR="004D28FA">
        <w:rPr>
          <w:rFonts w:ascii="Century Gothic" w:eastAsia="Calibri" w:hAnsi="Century Gothic"/>
        </w:rPr>
        <w:t xml:space="preserve">the choice of </w:t>
      </w:r>
      <w:r w:rsidRPr="004D59DE">
        <w:rPr>
          <w:rFonts w:ascii="Century Gothic" w:eastAsia="Calibri" w:hAnsi="Century Gothic"/>
        </w:rPr>
        <w:t xml:space="preserve">which is </w:t>
      </w:r>
      <w:r w:rsidR="004D28FA">
        <w:rPr>
          <w:rFonts w:ascii="Century Gothic" w:eastAsia="Calibri" w:hAnsi="Century Gothic"/>
        </w:rPr>
        <w:t>determined</w:t>
      </w:r>
      <w:r w:rsidRPr="004D59DE">
        <w:rPr>
          <w:rFonts w:ascii="Century Gothic" w:eastAsia="Calibri" w:hAnsi="Century Gothic"/>
        </w:rPr>
        <w:t xml:space="preserve"> by </w:t>
      </w:r>
      <w:r w:rsidR="004D28FA">
        <w:rPr>
          <w:rFonts w:ascii="Century Gothic" w:eastAsia="Calibri" w:hAnsi="Century Gothic"/>
        </w:rPr>
        <w:t>local</w:t>
      </w:r>
      <w:r w:rsidRPr="004D59DE">
        <w:rPr>
          <w:rFonts w:ascii="Century Gothic" w:eastAsia="Calibri" w:hAnsi="Century Gothic"/>
        </w:rPr>
        <w:t xml:space="preserve"> policy.</w:t>
      </w:r>
      <w:r w:rsidR="004D28FA">
        <w:rPr>
          <w:rFonts w:ascii="Century Gothic" w:eastAsia="Calibri" w:hAnsi="Century Gothic"/>
        </w:rPr>
        <w:t xml:space="preserve">  Most</w:t>
      </w:r>
      <w:r w:rsidR="005D7A5F">
        <w:rPr>
          <w:rFonts w:ascii="Century Gothic" w:eastAsia="Calibri" w:hAnsi="Century Gothic"/>
        </w:rPr>
        <w:t xml:space="preserve"> agencies </w:t>
      </w:r>
      <w:r w:rsidR="004D28FA">
        <w:rPr>
          <w:rFonts w:ascii="Century Gothic" w:eastAsia="Calibri" w:hAnsi="Century Gothic"/>
        </w:rPr>
        <w:t xml:space="preserve">have a contract template </w:t>
      </w:r>
      <w:r w:rsidR="00E6121B">
        <w:rPr>
          <w:rFonts w:ascii="Century Gothic" w:eastAsia="Calibri" w:hAnsi="Century Gothic"/>
        </w:rPr>
        <w:t>which requires that a scope of work definition be attached</w:t>
      </w:r>
      <w:r w:rsidR="005D7A5F">
        <w:rPr>
          <w:rFonts w:ascii="Century Gothic" w:eastAsia="Calibri" w:hAnsi="Century Gothic"/>
        </w:rPr>
        <w:t xml:space="preserve"> as an exhibit</w:t>
      </w:r>
      <w:r w:rsidR="00E6121B">
        <w:rPr>
          <w:rFonts w:ascii="Century Gothic" w:eastAsia="Calibri" w:hAnsi="Century Gothic"/>
        </w:rPr>
        <w:t xml:space="preserve">. </w:t>
      </w:r>
      <w:r w:rsidR="009824D6">
        <w:rPr>
          <w:rFonts w:ascii="Century Gothic" w:eastAsia="Calibri" w:hAnsi="Century Gothic"/>
        </w:rPr>
        <w:t xml:space="preserve">Below is a sample of a 4-year contract </w:t>
      </w:r>
      <w:r w:rsidR="005D7A5F">
        <w:rPr>
          <w:rFonts w:ascii="Century Gothic" w:eastAsia="Calibri" w:hAnsi="Century Gothic"/>
        </w:rPr>
        <w:t xml:space="preserve">exhibit that can be used as is or customized to fit any </w:t>
      </w:r>
      <w:r w:rsidR="009824D6">
        <w:rPr>
          <w:rFonts w:ascii="Century Gothic" w:eastAsia="Calibri" w:hAnsi="Century Gothic"/>
        </w:rPr>
        <w:t>project</w:t>
      </w:r>
      <w:r w:rsidR="005D7A5F">
        <w:rPr>
          <w:rFonts w:ascii="Century Gothic" w:eastAsia="Calibri" w:hAnsi="Century Gothic"/>
        </w:rPr>
        <w:t>’</w:t>
      </w:r>
      <w:r w:rsidR="009824D6">
        <w:rPr>
          <w:rFonts w:ascii="Century Gothic" w:eastAsia="Calibri" w:hAnsi="Century Gothic"/>
        </w:rPr>
        <w:t xml:space="preserve">s </w:t>
      </w:r>
      <w:r w:rsidR="00E6121B">
        <w:rPr>
          <w:rFonts w:ascii="Century Gothic" w:eastAsia="Calibri" w:hAnsi="Century Gothic"/>
        </w:rPr>
        <w:t>needs</w:t>
      </w:r>
      <w:r w:rsidR="005D7A5F">
        <w:rPr>
          <w:rFonts w:ascii="Century Gothic" w:eastAsia="Calibri" w:hAnsi="Century Gothic"/>
        </w:rPr>
        <w:t xml:space="preserve">.  </w:t>
      </w:r>
      <w:r w:rsidR="00E6121B">
        <w:rPr>
          <w:rFonts w:ascii="Century Gothic" w:eastAsia="Calibri" w:hAnsi="Century Gothic"/>
        </w:rPr>
        <w:t xml:space="preserve">The sample contract is </w:t>
      </w:r>
      <w:r w:rsidRPr="004D59DE">
        <w:rPr>
          <w:rFonts w:ascii="Century Gothic" w:eastAsia="Calibri" w:hAnsi="Century Gothic"/>
        </w:rPr>
        <w:t xml:space="preserve">based on the </w:t>
      </w:r>
      <w:r w:rsidR="004D28FA">
        <w:rPr>
          <w:rFonts w:ascii="Century Gothic" w:eastAsia="Calibri" w:hAnsi="Century Gothic"/>
        </w:rPr>
        <w:t xml:space="preserve">typical </w:t>
      </w:r>
      <w:r w:rsidRPr="004D59DE">
        <w:rPr>
          <w:rFonts w:ascii="Century Gothic" w:eastAsia="Calibri" w:hAnsi="Century Gothic"/>
        </w:rPr>
        <w:t>roles and responsibilities of a 10% FTE External Evaluator</w:t>
      </w:r>
      <w:r w:rsidR="005D7A5F">
        <w:rPr>
          <w:rFonts w:ascii="Century Gothic" w:eastAsia="Calibri" w:hAnsi="Century Gothic"/>
        </w:rPr>
        <w:t xml:space="preserve"> (208 hours per year)</w:t>
      </w:r>
      <w:r w:rsidR="005D7A5F" w:rsidRPr="005D7A5F">
        <w:rPr>
          <w:rFonts w:ascii="Century Gothic" w:eastAsia="Calibri" w:hAnsi="Century Gothic"/>
        </w:rPr>
        <w:t xml:space="preserve">.  </w:t>
      </w:r>
      <w:r w:rsidR="005D7A5F">
        <w:rPr>
          <w:rFonts w:ascii="Century Gothic" w:eastAsia="Calibri" w:hAnsi="Century Gothic"/>
        </w:rPr>
        <w:t>T</w:t>
      </w:r>
      <w:r w:rsidR="005D7A5F" w:rsidRPr="005D7A5F">
        <w:rPr>
          <w:rFonts w:ascii="Century Gothic" w:eastAsia="Calibri" w:hAnsi="Century Gothic"/>
        </w:rPr>
        <w:t xml:space="preserve">he table </w:t>
      </w:r>
      <w:r w:rsidR="005D7A5F">
        <w:rPr>
          <w:rFonts w:ascii="Century Gothic" w:eastAsia="Calibri" w:hAnsi="Century Gothic"/>
        </w:rPr>
        <w:t xml:space="preserve">on page 3 </w:t>
      </w:r>
      <w:r w:rsidR="005D7A5F" w:rsidRPr="005D7A5F">
        <w:rPr>
          <w:rFonts w:ascii="Century Gothic" w:eastAsia="Calibri" w:hAnsi="Century Gothic"/>
        </w:rPr>
        <w:t xml:space="preserve">organizes tasks to </w:t>
      </w:r>
      <w:r w:rsidR="005D7A5F">
        <w:rPr>
          <w:rFonts w:ascii="Century Gothic" w:eastAsia="Calibri" w:hAnsi="Century Gothic"/>
        </w:rPr>
        <w:t>be performed in each fiscal year</w:t>
      </w:r>
      <w:r w:rsidR="005D7A5F" w:rsidRPr="005D7A5F">
        <w:rPr>
          <w:rFonts w:ascii="Century Gothic" w:eastAsia="Calibri" w:hAnsi="Century Gothic"/>
        </w:rPr>
        <w:t xml:space="preserve">.  </w:t>
      </w:r>
      <w:r w:rsidR="009824D6">
        <w:rPr>
          <w:rFonts w:ascii="Century Gothic" w:eastAsia="Calibri" w:hAnsi="Century Gothic"/>
        </w:rPr>
        <w:t>Projects</w:t>
      </w:r>
      <w:r w:rsidR="00E6121B">
        <w:rPr>
          <w:rFonts w:ascii="Century Gothic" w:eastAsia="Calibri" w:hAnsi="Century Gothic"/>
        </w:rPr>
        <w:t xml:space="preserve"> can contract for more than the minimum of 208 hours, if desired.</w:t>
      </w:r>
      <w:r w:rsidR="00823AFE">
        <w:rPr>
          <w:rFonts w:ascii="Century Gothic" w:eastAsia="Calibri" w:hAnsi="Century Gothic"/>
        </w:rPr>
        <w:t xml:space="preserve">  </w:t>
      </w:r>
    </w:p>
    <w:p w14:paraId="5B1E6D8D" w14:textId="77777777" w:rsidR="00CF4433" w:rsidRPr="00C06162" w:rsidRDefault="00CF4433" w:rsidP="00B747CA">
      <w:pPr>
        <w:autoSpaceDE w:val="0"/>
        <w:autoSpaceDN w:val="0"/>
        <w:adjustRightInd w:val="0"/>
        <w:spacing w:before="360" w:after="360" w:line="23" w:lineRule="atLeast"/>
        <w:ind w:left="-187" w:right="-187"/>
        <w:jc w:val="center"/>
        <w:rPr>
          <w:rFonts w:ascii="Century Gothic" w:hAnsi="Century Gothic" w:cs="Arial"/>
          <w:b/>
          <w:sz w:val="24"/>
          <w:szCs w:val="24"/>
        </w:rPr>
      </w:pPr>
      <w:r w:rsidRPr="00C06162">
        <w:rPr>
          <w:rFonts w:ascii="Century Gothic" w:hAnsi="Century Gothic" w:cs="Arial"/>
          <w:b/>
          <w:sz w:val="24"/>
          <w:szCs w:val="24"/>
          <w:highlight w:val="yellow"/>
        </w:rPr>
        <w:t>This is for illustrative purposes only. This is not a template or a requirement</w:t>
      </w:r>
      <w:r>
        <w:rPr>
          <w:rFonts w:ascii="Century Gothic" w:hAnsi="Century Gothic" w:cs="Arial"/>
          <w:b/>
          <w:sz w:val="24"/>
          <w:szCs w:val="24"/>
        </w:rPr>
        <w:t>.</w:t>
      </w:r>
      <w:r w:rsidRPr="00C06162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57E32604" w14:textId="11D82C18" w:rsidR="00B27635" w:rsidRPr="004D59DE" w:rsidRDefault="00B27635" w:rsidP="00A656A7">
      <w:pPr>
        <w:jc w:val="center"/>
        <w:rPr>
          <w:rFonts w:ascii="Century Gothic" w:hAnsi="Century Gothic" w:cstheme="minorHAnsi"/>
          <w:b/>
          <w:color w:val="E55209"/>
          <w:sz w:val="24"/>
          <w:szCs w:val="24"/>
        </w:rPr>
      </w:pPr>
      <w:r w:rsidRPr="004D59DE">
        <w:rPr>
          <w:rFonts w:ascii="Century Gothic" w:hAnsi="Century Gothic" w:cstheme="minorHAnsi"/>
          <w:b/>
          <w:color w:val="E55209"/>
          <w:sz w:val="24"/>
          <w:szCs w:val="24"/>
        </w:rPr>
        <w:t xml:space="preserve">- Sample </w:t>
      </w:r>
      <w:r w:rsidR="00E6121B">
        <w:rPr>
          <w:rFonts w:ascii="Century Gothic" w:hAnsi="Century Gothic" w:cstheme="minorHAnsi"/>
          <w:b/>
          <w:color w:val="E55209"/>
          <w:sz w:val="24"/>
          <w:szCs w:val="24"/>
        </w:rPr>
        <w:t xml:space="preserve">4-Year </w:t>
      </w:r>
      <w:r w:rsidRPr="004D59DE">
        <w:rPr>
          <w:rFonts w:ascii="Century Gothic" w:hAnsi="Century Gothic" w:cstheme="minorHAnsi"/>
          <w:b/>
          <w:color w:val="E55209"/>
          <w:sz w:val="24"/>
          <w:szCs w:val="24"/>
        </w:rPr>
        <w:t xml:space="preserve">Contract </w:t>
      </w:r>
      <w:r w:rsidR="005D7A5F">
        <w:rPr>
          <w:rFonts w:ascii="Century Gothic" w:hAnsi="Century Gothic" w:cstheme="minorHAnsi"/>
          <w:b/>
          <w:color w:val="E55209"/>
          <w:sz w:val="24"/>
          <w:szCs w:val="24"/>
        </w:rPr>
        <w:t xml:space="preserve">Exhibit </w:t>
      </w:r>
      <w:r w:rsidRPr="004D59DE">
        <w:rPr>
          <w:rFonts w:ascii="Century Gothic" w:hAnsi="Century Gothic" w:cstheme="minorHAnsi"/>
          <w:b/>
          <w:color w:val="E55209"/>
          <w:sz w:val="24"/>
          <w:szCs w:val="24"/>
        </w:rPr>
        <w:t xml:space="preserve">- </w:t>
      </w:r>
    </w:p>
    <w:p w14:paraId="40364749" w14:textId="2416F127" w:rsidR="005905A7" w:rsidRPr="004D59DE" w:rsidRDefault="00B27635" w:rsidP="00A656A7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4D59DE">
        <w:rPr>
          <w:rFonts w:ascii="Century Gothic" w:hAnsi="Century Gothic" w:cstheme="minorHAnsi"/>
          <w:b/>
          <w:sz w:val="24"/>
          <w:szCs w:val="24"/>
        </w:rPr>
        <w:t>[</w:t>
      </w:r>
      <w:r w:rsidR="00454491">
        <w:rPr>
          <w:rFonts w:ascii="Century Gothic" w:hAnsi="Century Gothic" w:cstheme="minorHAnsi"/>
          <w:b/>
          <w:sz w:val="24"/>
          <w:szCs w:val="24"/>
        </w:rPr>
        <w:t>Agency</w:t>
      </w:r>
      <w:r w:rsidRPr="004D59DE">
        <w:rPr>
          <w:rFonts w:ascii="Century Gothic" w:hAnsi="Century Gothic" w:cstheme="minorHAnsi"/>
          <w:b/>
          <w:sz w:val="24"/>
          <w:szCs w:val="24"/>
        </w:rPr>
        <w:t xml:space="preserve"> Name &amp; Name of Tobacco</w:t>
      </w:r>
      <w:r w:rsidR="006F431F">
        <w:rPr>
          <w:rFonts w:ascii="Century Gothic" w:hAnsi="Century Gothic" w:cstheme="minorHAnsi"/>
          <w:b/>
          <w:sz w:val="24"/>
          <w:szCs w:val="24"/>
        </w:rPr>
        <w:t xml:space="preserve"> Control</w:t>
      </w:r>
      <w:r w:rsidRPr="004D59DE">
        <w:rPr>
          <w:rFonts w:ascii="Century Gothic" w:hAnsi="Century Gothic" w:cstheme="minorHAnsi"/>
          <w:b/>
          <w:sz w:val="24"/>
          <w:szCs w:val="24"/>
        </w:rPr>
        <w:t xml:space="preserve"> Program]</w:t>
      </w:r>
    </w:p>
    <w:p w14:paraId="7D59A192" w14:textId="77777777" w:rsidR="00A656A7" w:rsidRPr="004D59DE" w:rsidRDefault="00B27635" w:rsidP="00A656A7">
      <w:pPr>
        <w:jc w:val="center"/>
        <w:rPr>
          <w:rFonts w:ascii="Century Gothic" w:hAnsi="Century Gothic" w:cstheme="minorHAnsi"/>
          <w:sz w:val="24"/>
          <w:szCs w:val="24"/>
        </w:rPr>
      </w:pPr>
      <w:r w:rsidRPr="004D59DE">
        <w:rPr>
          <w:rFonts w:ascii="Century Gothic" w:hAnsi="Century Gothic" w:cstheme="minorHAnsi"/>
          <w:sz w:val="24"/>
          <w:szCs w:val="24"/>
        </w:rPr>
        <w:t>[Contractor Name]</w:t>
      </w:r>
    </w:p>
    <w:p w14:paraId="72984703" w14:textId="77777777" w:rsidR="00A656A7" w:rsidRPr="004D59DE" w:rsidRDefault="004472BC" w:rsidP="00A656A7">
      <w:pPr>
        <w:jc w:val="center"/>
        <w:rPr>
          <w:rFonts w:ascii="Century Gothic" w:hAnsi="Century Gothic" w:cstheme="minorHAnsi"/>
          <w:sz w:val="24"/>
          <w:szCs w:val="24"/>
        </w:rPr>
      </w:pPr>
      <w:r w:rsidRPr="004D59DE">
        <w:rPr>
          <w:rFonts w:ascii="Century Gothic" w:hAnsi="Century Gothic" w:cstheme="minorHAnsi"/>
          <w:sz w:val="24"/>
          <w:szCs w:val="24"/>
        </w:rPr>
        <w:t>Scope of Work</w:t>
      </w:r>
    </w:p>
    <w:p w14:paraId="56E92A5C" w14:textId="77777777" w:rsidR="00A656A7" w:rsidRPr="004D59DE" w:rsidRDefault="00A656A7">
      <w:pPr>
        <w:rPr>
          <w:rFonts w:ascii="Century Gothic" w:hAnsi="Century Gothic" w:cstheme="minorHAnsi"/>
          <w:sz w:val="24"/>
          <w:szCs w:val="24"/>
        </w:rPr>
      </w:pPr>
    </w:p>
    <w:p w14:paraId="4A0AF765" w14:textId="77777777" w:rsidR="00A656A7" w:rsidRPr="00397006" w:rsidRDefault="00A656A7" w:rsidP="00A656A7">
      <w:pPr>
        <w:rPr>
          <w:rFonts w:ascii="Century Gothic" w:hAnsi="Century Gothic" w:cstheme="minorHAnsi"/>
          <w:b/>
          <w:bCs/>
        </w:rPr>
      </w:pPr>
      <w:r w:rsidRPr="00397006">
        <w:rPr>
          <w:rFonts w:ascii="Century Gothic" w:hAnsi="Century Gothic" w:cstheme="minorHAnsi"/>
          <w:b/>
          <w:bCs/>
        </w:rPr>
        <w:t>Contractor Responsibilities:</w:t>
      </w:r>
    </w:p>
    <w:p w14:paraId="21C1ADB8" w14:textId="77505752" w:rsidR="00A656A7" w:rsidRPr="00397006" w:rsidRDefault="00A656A7" w:rsidP="00A656A7">
      <w:pPr>
        <w:rPr>
          <w:rFonts w:ascii="Century Gothic" w:hAnsi="Century Gothic" w:cstheme="minorHAnsi"/>
        </w:rPr>
      </w:pPr>
      <w:r w:rsidRPr="00397006">
        <w:rPr>
          <w:rFonts w:ascii="Century Gothic" w:hAnsi="Century Gothic" w:cstheme="minorHAnsi"/>
        </w:rPr>
        <w:t>Consistent with the elements of the 2017-20</w:t>
      </w:r>
      <w:r w:rsidR="003B68DF" w:rsidRPr="00397006">
        <w:rPr>
          <w:rFonts w:ascii="Century Gothic" w:hAnsi="Century Gothic" w:cstheme="minorHAnsi"/>
        </w:rPr>
        <w:t>21</w:t>
      </w:r>
      <w:r w:rsidRPr="00397006">
        <w:rPr>
          <w:rFonts w:ascii="Century Gothic" w:hAnsi="Century Gothic" w:cstheme="minorHAnsi"/>
        </w:rPr>
        <w:t xml:space="preserve"> Comprehensive Tobacco Control Plan (CTCP) Evaluation Plan, Contractor shall</w:t>
      </w:r>
      <w:r w:rsidR="00782710">
        <w:rPr>
          <w:rFonts w:ascii="Century Gothic" w:hAnsi="Century Gothic" w:cstheme="minorHAnsi"/>
        </w:rPr>
        <w:t xml:space="preserve"> work in collaboration with project staff to</w:t>
      </w:r>
      <w:r w:rsidRPr="00397006">
        <w:rPr>
          <w:rFonts w:ascii="Century Gothic" w:hAnsi="Century Gothic" w:cstheme="minorHAnsi"/>
        </w:rPr>
        <w:t>:</w:t>
      </w:r>
    </w:p>
    <w:p w14:paraId="1E321F06" w14:textId="06ABE185" w:rsidR="00782710" w:rsidRPr="00EC4392" w:rsidRDefault="00782710" w:rsidP="00A656A7">
      <w:pPr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 w:rsidRPr="00EC4392">
        <w:rPr>
          <w:rFonts w:ascii="Century Gothic" w:hAnsi="Century Gothic" w:cstheme="minorHAnsi"/>
          <w:color w:val="000000" w:themeColor="text1"/>
        </w:rPr>
        <w:t>Define the goals and methods of the evaluation</w:t>
      </w:r>
      <w:r w:rsidR="00ED5DA1">
        <w:rPr>
          <w:rFonts w:ascii="Century Gothic" w:hAnsi="Century Gothic" w:cstheme="minorHAnsi"/>
          <w:color w:val="000000" w:themeColor="text1"/>
        </w:rPr>
        <w:t>.</w:t>
      </w:r>
    </w:p>
    <w:p w14:paraId="03DCDEFB" w14:textId="4C12D9BA" w:rsidR="00782710" w:rsidRPr="00EC4392" w:rsidRDefault="00643EE5" w:rsidP="00782710">
      <w:pPr>
        <w:pStyle w:val="ListParagraph"/>
        <w:numPr>
          <w:ilvl w:val="0"/>
          <w:numId w:val="1"/>
        </w:numPr>
        <w:spacing w:before="120" w:after="120"/>
        <w:rPr>
          <w:rFonts w:ascii="Century Gothic" w:hAnsi="Century Gothic" w:cstheme="minorHAnsi"/>
          <w:color w:val="000000" w:themeColor="text1"/>
          <w:sz w:val="22"/>
          <w:szCs w:val="22"/>
        </w:rPr>
      </w:pPr>
      <w:r>
        <w:rPr>
          <w:rFonts w:ascii="Century Gothic" w:hAnsi="Century Gothic" w:cstheme="minorHAnsi"/>
          <w:color w:val="000000" w:themeColor="text1"/>
          <w:sz w:val="22"/>
          <w:szCs w:val="22"/>
        </w:rPr>
        <w:t>R</w:t>
      </w:r>
      <w:r w:rsidR="00782710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>evise the 2017-</w:t>
      </w:r>
      <w:r w:rsidR="005D7A5F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>20</w:t>
      </w:r>
      <w:r w:rsidR="005D7A5F">
        <w:rPr>
          <w:rFonts w:ascii="Century Gothic" w:hAnsi="Century Gothic" w:cstheme="minorHAnsi"/>
          <w:color w:val="000000" w:themeColor="text1"/>
          <w:sz w:val="22"/>
          <w:szCs w:val="22"/>
        </w:rPr>
        <w:t>21</w:t>
      </w:r>
      <w:r w:rsidR="005D7A5F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>Scope of Work (SOW)</w:t>
      </w:r>
      <w:r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</w:t>
      </w:r>
      <w:r w:rsidR="00782710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Evaluation Plan, Activities &amp; Narrative based </w:t>
      </w:r>
      <w:r w:rsidR="006F431F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>on the</w:t>
      </w:r>
      <w:r w:rsidR="00782710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201</w:t>
      </w:r>
      <w:r w:rsidR="005E7FED">
        <w:rPr>
          <w:rFonts w:ascii="Century Gothic" w:hAnsi="Century Gothic" w:cstheme="minorHAnsi"/>
          <w:color w:val="000000" w:themeColor="text1"/>
          <w:sz w:val="22"/>
          <w:szCs w:val="22"/>
        </w:rPr>
        <w:t>7</w:t>
      </w:r>
      <w:r w:rsidR="00782710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-2021 </w:t>
      </w:r>
      <w:r w:rsidR="005E7FED">
        <w:rPr>
          <w:rFonts w:ascii="Century Gothic" w:hAnsi="Century Gothic" w:cstheme="minorHAnsi"/>
          <w:color w:val="000000" w:themeColor="text1"/>
          <w:sz w:val="22"/>
          <w:szCs w:val="22"/>
        </w:rPr>
        <w:t>Comprehensive Tobacco Control Plan Guidelines</w:t>
      </w:r>
      <w:r w:rsidR="00782710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including </w:t>
      </w:r>
      <w:r w:rsidR="005E7FED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participating in the </w:t>
      </w:r>
      <w:r w:rsidR="00782710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>CTCP negotiation process and revisions</w:t>
      </w:r>
      <w:r w:rsidR="005D7A5F">
        <w:rPr>
          <w:rFonts w:ascii="Century Gothic" w:hAnsi="Century Gothic" w:cstheme="minorHAnsi"/>
          <w:color w:val="000000" w:themeColor="text1"/>
          <w:sz w:val="22"/>
          <w:szCs w:val="22"/>
        </w:rPr>
        <w:t>, as necessary</w:t>
      </w:r>
      <w:r w:rsidR="00782710"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. </w:t>
      </w:r>
    </w:p>
    <w:p w14:paraId="4B6306B2" w14:textId="000E7FF1" w:rsidR="00EC4392" w:rsidRPr="00EC4392" w:rsidRDefault="00EC4392" w:rsidP="00EC4392">
      <w:pPr>
        <w:pStyle w:val="ListParagraph"/>
        <w:numPr>
          <w:ilvl w:val="0"/>
          <w:numId w:val="1"/>
        </w:numPr>
        <w:spacing w:before="120" w:after="120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>Meet with</w:t>
      </w:r>
      <w:r w:rsidR="00ED5DA1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the</w:t>
      </w:r>
      <w:r w:rsidR="0089636C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Internal Evaluation</w:t>
      </w:r>
      <w:r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Project Manager </w:t>
      </w:r>
      <w:r w:rsidR="005D7A5F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and/or Project Director </w:t>
      </w:r>
      <w:r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monthly (or as needed) to monitor evaluation plan implementation and document information for </w:t>
      </w:r>
      <w:r w:rsidR="005D7A5F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interim and </w:t>
      </w:r>
      <w:r w:rsidRPr="00EC4392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final evaluation reporting. </w:t>
      </w:r>
    </w:p>
    <w:p w14:paraId="3104A764" w14:textId="5141094B" w:rsidR="00EC4392" w:rsidRPr="00EC4392" w:rsidRDefault="00EC4392" w:rsidP="00A656A7">
      <w:pPr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 w:rsidRPr="00EC4392">
        <w:rPr>
          <w:rFonts w:ascii="Century Gothic" w:hAnsi="Century Gothic" w:cstheme="minorHAnsi"/>
          <w:color w:val="000000" w:themeColor="text1"/>
        </w:rPr>
        <w:t>Conduct data collection logistics planning</w:t>
      </w:r>
      <w:r w:rsidR="00ED5DA1">
        <w:rPr>
          <w:rFonts w:ascii="Century Gothic" w:hAnsi="Century Gothic" w:cstheme="minorHAnsi"/>
          <w:color w:val="000000" w:themeColor="text1"/>
        </w:rPr>
        <w:t>.</w:t>
      </w:r>
    </w:p>
    <w:p w14:paraId="1A96812B" w14:textId="77777777" w:rsidR="00A656A7" w:rsidRPr="00EC4392" w:rsidRDefault="00EC4392" w:rsidP="00A656A7">
      <w:pPr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 w:rsidRPr="00EC4392">
        <w:rPr>
          <w:rFonts w:ascii="Century Gothic" w:hAnsi="Century Gothic" w:cstheme="minorHAnsi"/>
          <w:color w:val="000000" w:themeColor="text1"/>
        </w:rPr>
        <w:t>D</w:t>
      </w:r>
      <w:r w:rsidR="00CC7EB9" w:rsidRPr="00EC4392">
        <w:rPr>
          <w:rFonts w:ascii="Century Gothic" w:hAnsi="Century Gothic" w:cstheme="minorHAnsi"/>
          <w:color w:val="000000" w:themeColor="text1"/>
        </w:rPr>
        <w:t>evelop/</w:t>
      </w:r>
      <w:r w:rsidR="00A656A7" w:rsidRPr="00EC4392">
        <w:rPr>
          <w:rFonts w:ascii="Century Gothic" w:hAnsi="Century Gothic" w:cstheme="minorHAnsi"/>
          <w:color w:val="000000" w:themeColor="text1"/>
        </w:rPr>
        <w:t>design evaluation instruments for the project consistent with sound evaluation and measurement principles for valid evaluation</w:t>
      </w:r>
      <w:r w:rsidRPr="00EC4392">
        <w:rPr>
          <w:rFonts w:ascii="Century Gothic" w:hAnsi="Century Gothic" w:cstheme="minorHAnsi"/>
          <w:color w:val="000000" w:themeColor="text1"/>
        </w:rPr>
        <w:t>.</w:t>
      </w:r>
    </w:p>
    <w:p w14:paraId="1AE6204C" w14:textId="0A378040" w:rsidR="00A656A7" w:rsidRPr="00EC4392" w:rsidRDefault="006F431F" w:rsidP="00A656A7">
      <w:pPr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 xml:space="preserve">In partnership with </w:t>
      </w:r>
      <w:r w:rsidR="005D7A5F">
        <w:rPr>
          <w:rFonts w:ascii="Century Gothic" w:hAnsi="Century Gothic" w:cstheme="minorHAnsi"/>
          <w:color w:val="000000" w:themeColor="text1"/>
        </w:rPr>
        <w:t xml:space="preserve">project </w:t>
      </w:r>
      <w:r>
        <w:rPr>
          <w:rFonts w:ascii="Century Gothic" w:hAnsi="Century Gothic" w:cstheme="minorHAnsi"/>
          <w:color w:val="000000" w:themeColor="text1"/>
        </w:rPr>
        <w:t>staff, c</w:t>
      </w:r>
      <w:r w:rsidR="006B5168" w:rsidRPr="00EC4392">
        <w:rPr>
          <w:rFonts w:ascii="Century Gothic" w:hAnsi="Century Gothic" w:cstheme="minorHAnsi"/>
          <w:color w:val="000000" w:themeColor="text1"/>
        </w:rPr>
        <w:t xml:space="preserve">onduct </w:t>
      </w:r>
      <w:r w:rsidR="00EC4392" w:rsidRPr="00EC4392">
        <w:rPr>
          <w:rFonts w:ascii="Century Gothic" w:hAnsi="Century Gothic" w:cstheme="minorHAnsi"/>
          <w:color w:val="000000" w:themeColor="text1"/>
        </w:rPr>
        <w:t>data collection trainings and/or provide technical assistance on data collection and data entry to ensure data reliability and validity</w:t>
      </w:r>
      <w:r w:rsidR="00A656A7" w:rsidRPr="00EC4392">
        <w:rPr>
          <w:rFonts w:ascii="Century Gothic" w:hAnsi="Century Gothic" w:cstheme="minorHAnsi"/>
          <w:color w:val="000000" w:themeColor="text1"/>
        </w:rPr>
        <w:t>.</w:t>
      </w:r>
    </w:p>
    <w:p w14:paraId="0971B6A4" w14:textId="77777777" w:rsidR="004D34D7" w:rsidRPr="00EC4392" w:rsidRDefault="004D34D7" w:rsidP="00A656A7">
      <w:pPr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 w:rsidRPr="00EC4392">
        <w:rPr>
          <w:rFonts w:ascii="Century Gothic" w:hAnsi="Century Gothic" w:cstheme="minorHAnsi"/>
          <w:color w:val="000000" w:themeColor="text1"/>
        </w:rPr>
        <w:lastRenderedPageBreak/>
        <w:t>Set up databases for online/handheld data collection for project staff to populate, as necessary.</w:t>
      </w:r>
    </w:p>
    <w:p w14:paraId="6A785970" w14:textId="42F1B4FB" w:rsidR="00CC7EB9" w:rsidRPr="00EC4392" w:rsidRDefault="00CC7EB9" w:rsidP="00A656A7">
      <w:pPr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 w:rsidRPr="00EC4392">
        <w:rPr>
          <w:rFonts w:ascii="Century Gothic" w:hAnsi="Century Gothic" w:cstheme="minorHAnsi"/>
          <w:color w:val="000000" w:themeColor="text1"/>
        </w:rPr>
        <w:t xml:space="preserve">Process and prepare data for analysis </w:t>
      </w:r>
      <w:r w:rsidR="006B5168" w:rsidRPr="00EC4392">
        <w:rPr>
          <w:rFonts w:ascii="Century Gothic" w:hAnsi="Century Gothic" w:cstheme="minorHAnsi"/>
          <w:color w:val="000000" w:themeColor="text1"/>
        </w:rPr>
        <w:t xml:space="preserve">and/or </w:t>
      </w:r>
      <w:r w:rsidRPr="00EC4392">
        <w:rPr>
          <w:rFonts w:ascii="Century Gothic" w:hAnsi="Century Gothic" w:cstheme="minorHAnsi"/>
          <w:color w:val="000000" w:themeColor="text1"/>
        </w:rPr>
        <w:t>clean data and conduct analyses</w:t>
      </w:r>
      <w:r w:rsidR="002C6A8F" w:rsidRPr="00EC4392">
        <w:rPr>
          <w:rFonts w:ascii="Century Gothic" w:hAnsi="Century Gothic" w:cstheme="minorHAnsi"/>
          <w:color w:val="000000" w:themeColor="text1"/>
        </w:rPr>
        <w:t xml:space="preserve"> for each evaluation activity in the </w:t>
      </w:r>
      <w:r w:rsidR="005D7A5F">
        <w:rPr>
          <w:rFonts w:ascii="Century Gothic" w:hAnsi="Century Gothic" w:cstheme="minorHAnsi"/>
          <w:color w:val="000000" w:themeColor="text1"/>
        </w:rPr>
        <w:t>tobacco program’s</w:t>
      </w:r>
      <w:r w:rsidR="005D7A5F" w:rsidRPr="00EC4392">
        <w:rPr>
          <w:rFonts w:ascii="Century Gothic" w:hAnsi="Century Gothic" w:cstheme="minorHAnsi"/>
          <w:color w:val="000000" w:themeColor="text1"/>
        </w:rPr>
        <w:t xml:space="preserve"> </w:t>
      </w:r>
      <w:r w:rsidR="002C6A8F" w:rsidRPr="00EC4392">
        <w:rPr>
          <w:rFonts w:ascii="Century Gothic" w:hAnsi="Century Gothic" w:cstheme="minorHAnsi"/>
          <w:color w:val="000000" w:themeColor="text1"/>
        </w:rPr>
        <w:t>Evaluation Plan.</w:t>
      </w:r>
    </w:p>
    <w:p w14:paraId="260C0FCE" w14:textId="0FBE49F3" w:rsidR="00813584" w:rsidRPr="00EC4392" w:rsidRDefault="00F95B95" w:rsidP="00813584">
      <w:pPr>
        <w:numPr>
          <w:ilvl w:val="0"/>
          <w:numId w:val="1"/>
        </w:numPr>
        <w:rPr>
          <w:rFonts w:ascii="Century Gothic" w:hAnsi="Century Gothic" w:cstheme="minorHAnsi"/>
          <w:color w:val="000000" w:themeColor="text1"/>
        </w:rPr>
      </w:pPr>
      <w:r w:rsidRPr="00EC4392">
        <w:rPr>
          <w:rFonts w:ascii="Century Gothic" w:hAnsi="Century Gothic" w:cstheme="minorHAnsi"/>
          <w:color w:val="000000" w:themeColor="text1"/>
        </w:rPr>
        <w:t>I</w:t>
      </w:r>
      <w:r w:rsidR="002C6A8F" w:rsidRPr="00EC4392">
        <w:rPr>
          <w:rFonts w:ascii="Century Gothic" w:hAnsi="Century Gothic" w:cstheme="minorHAnsi"/>
          <w:color w:val="000000" w:themeColor="text1"/>
        </w:rPr>
        <w:t>nterpret results of each data collection/evaluation activity, formulate recommendations and</w:t>
      </w:r>
      <w:r w:rsidR="00454491">
        <w:rPr>
          <w:rFonts w:ascii="Century Gothic" w:hAnsi="Century Gothic" w:cstheme="minorHAnsi"/>
          <w:color w:val="000000" w:themeColor="text1"/>
        </w:rPr>
        <w:t xml:space="preserve"> help project staff understand the results</w:t>
      </w:r>
      <w:r w:rsidR="002C6A8F" w:rsidRPr="00EC4392">
        <w:rPr>
          <w:rFonts w:ascii="Century Gothic" w:hAnsi="Century Gothic" w:cstheme="minorHAnsi"/>
          <w:color w:val="000000" w:themeColor="text1"/>
        </w:rPr>
        <w:t xml:space="preserve"> </w:t>
      </w:r>
      <w:r w:rsidR="00813584" w:rsidRPr="00EC4392">
        <w:rPr>
          <w:rFonts w:ascii="Century Gothic" w:hAnsi="Century Gothic" w:cstheme="minorHAnsi"/>
          <w:color w:val="000000" w:themeColor="text1"/>
        </w:rPr>
        <w:t xml:space="preserve">of </w:t>
      </w:r>
      <w:r w:rsidRPr="00EC4392">
        <w:rPr>
          <w:rFonts w:ascii="Century Gothic" w:hAnsi="Century Gothic" w:cstheme="minorHAnsi"/>
          <w:color w:val="000000" w:themeColor="text1"/>
        </w:rPr>
        <w:t xml:space="preserve">data collection </w:t>
      </w:r>
      <w:r w:rsidR="00813584" w:rsidRPr="00EC4392">
        <w:rPr>
          <w:rFonts w:ascii="Century Gothic" w:hAnsi="Century Gothic" w:cstheme="minorHAnsi"/>
          <w:color w:val="000000" w:themeColor="text1"/>
        </w:rPr>
        <w:t xml:space="preserve">and how </w:t>
      </w:r>
      <w:r w:rsidRPr="00EC4392">
        <w:rPr>
          <w:rFonts w:ascii="Century Gothic" w:hAnsi="Century Gothic" w:cstheme="minorHAnsi"/>
          <w:color w:val="000000" w:themeColor="text1"/>
        </w:rPr>
        <w:t>the data</w:t>
      </w:r>
      <w:r w:rsidR="00813584" w:rsidRPr="00EC4392">
        <w:rPr>
          <w:rFonts w:ascii="Century Gothic" w:hAnsi="Century Gothic" w:cstheme="minorHAnsi"/>
          <w:color w:val="000000" w:themeColor="text1"/>
        </w:rPr>
        <w:t xml:space="preserve"> informs the project’s intervention activities.</w:t>
      </w:r>
    </w:p>
    <w:p w14:paraId="37C71DD0" w14:textId="0B288062" w:rsidR="00A656A7" w:rsidRPr="00EC4392" w:rsidRDefault="004D34D7" w:rsidP="004A0442">
      <w:pPr>
        <w:numPr>
          <w:ilvl w:val="0"/>
          <w:numId w:val="1"/>
        </w:numPr>
        <w:rPr>
          <w:rFonts w:ascii="Century Gothic" w:hAnsi="Century Gothic" w:cstheme="minorHAnsi"/>
          <w:i/>
          <w:iCs/>
          <w:color w:val="000000" w:themeColor="text1"/>
        </w:rPr>
      </w:pPr>
      <w:r w:rsidRPr="00EC4392">
        <w:rPr>
          <w:rFonts w:ascii="Century Gothic" w:hAnsi="Century Gothic" w:cstheme="minorHAnsi"/>
          <w:color w:val="000000" w:themeColor="text1"/>
        </w:rPr>
        <w:t>Develop final evaluation reports -</w:t>
      </w:r>
      <w:r w:rsidR="00A656A7" w:rsidRPr="00EC4392">
        <w:rPr>
          <w:rFonts w:ascii="Century Gothic" w:hAnsi="Century Gothic" w:cstheme="minorHAnsi"/>
          <w:color w:val="000000" w:themeColor="text1"/>
        </w:rPr>
        <w:t xml:space="preserve"> </w:t>
      </w:r>
      <w:r w:rsidR="005D7A5F">
        <w:rPr>
          <w:rFonts w:ascii="Century Gothic" w:hAnsi="Century Gothic" w:cstheme="minorHAnsi"/>
          <w:color w:val="000000" w:themeColor="text1"/>
        </w:rPr>
        <w:t>3</w:t>
      </w:r>
      <w:r w:rsidR="005D7A5F" w:rsidRPr="00EC4392">
        <w:rPr>
          <w:rFonts w:ascii="Century Gothic" w:hAnsi="Century Gothic" w:cstheme="minorHAnsi"/>
          <w:color w:val="000000" w:themeColor="text1"/>
        </w:rPr>
        <w:t xml:space="preserve"> </w:t>
      </w:r>
      <w:r w:rsidR="00A656A7" w:rsidRPr="00EC4392">
        <w:rPr>
          <w:rFonts w:ascii="Century Gothic" w:hAnsi="Century Gothic" w:cstheme="minorHAnsi"/>
          <w:color w:val="000000" w:themeColor="text1"/>
        </w:rPr>
        <w:t xml:space="preserve">brief evaluation reports for </w:t>
      </w:r>
      <w:r w:rsidR="005D7A5F">
        <w:rPr>
          <w:rFonts w:ascii="Century Gothic" w:hAnsi="Century Gothic" w:cstheme="minorHAnsi"/>
          <w:color w:val="000000" w:themeColor="text1"/>
        </w:rPr>
        <w:t>3</w:t>
      </w:r>
      <w:r w:rsidR="005D7A5F" w:rsidRPr="00EC4392">
        <w:rPr>
          <w:rFonts w:ascii="Century Gothic" w:hAnsi="Century Gothic" w:cstheme="minorHAnsi"/>
          <w:color w:val="000000" w:themeColor="text1"/>
        </w:rPr>
        <w:t xml:space="preserve"> </w:t>
      </w:r>
      <w:r w:rsidR="00A656A7" w:rsidRPr="00EC4392">
        <w:rPr>
          <w:rFonts w:ascii="Century Gothic" w:hAnsi="Century Gothic" w:cstheme="minorHAnsi"/>
          <w:color w:val="000000" w:themeColor="text1"/>
        </w:rPr>
        <w:t xml:space="preserve">non-primary objectives </w:t>
      </w:r>
      <w:r w:rsidR="003B68DF" w:rsidRPr="00EC4392">
        <w:rPr>
          <w:rFonts w:ascii="Century Gothic" w:hAnsi="Century Gothic" w:cstheme="minorHAnsi"/>
          <w:color w:val="000000" w:themeColor="text1"/>
        </w:rPr>
        <w:t xml:space="preserve">and </w:t>
      </w:r>
      <w:r w:rsidR="005D7A5F">
        <w:rPr>
          <w:rFonts w:ascii="Century Gothic" w:hAnsi="Century Gothic" w:cstheme="minorHAnsi"/>
          <w:color w:val="000000" w:themeColor="text1"/>
        </w:rPr>
        <w:t>1</w:t>
      </w:r>
      <w:r w:rsidR="005D7A5F" w:rsidRPr="00EC4392">
        <w:rPr>
          <w:rFonts w:ascii="Century Gothic" w:hAnsi="Century Gothic" w:cstheme="minorHAnsi"/>
          <w:color w:val="000000" w:themeColor="text1"/>
        </w:rPr>
        <w:t xml:space="preserve"> </w:t>
      </w:r>
      <w:r w:rsidR="003B68DF" w:rsidRPr="00EC4392">
        <w:rPr>
          <w:rFonts w:ascii="Century Gothic" w:hAnsi="Century Gothic" w:cstheme="minorHAnsi"/>
          <w:color w:val="000000" w:themeColor="text1"/>
        </w:rPr>
        <w:t>final evaluat</w:t>
      </w:r>
      <w:r w:rsidR="00F95B95" w:rsidRPr="00EC4392">
        <w:rPr>
          <w:rFonts w:ascii="Century Gothic" w:hAnsi="Century Gothic" w:cstheme="minorHAnsi"/>
          <w:color w:val="000000" w:themeColor="text1"/>
        </w:rPr>
        <w:t xml:space="preserve">ion </w:t>
      </w:r>
      <w:r w:rsidR="003B68DF" w:rsidRPr="00EC4392">
        <w:rPr>
          <w:rFonts w:ascii="Century Gothic" w:hAnsi="Century Gothic" w:cstheme="minorHAnsi"/>
          <w:color w:val="000000" w:themeColor="text1"/>
        </w:rPr>
        <w:t xml:space="preserve">report for </w:t>
      </w:r>
      <w:r w:rsidR="005D7A5F">
        <w:rPr>
          <w:rFonts w:ascii="Century Gothic" w:hAnsi="Century Gothic" w:cstheme="minorHAnsi"/>
          <w:color w:val="000000" w:themeColor="text1"/>
        </w:rPr>
        <w:t>1</w:t>
      </w:r>
      <w:r w:rsidR="005D7A5F" w:rsidRPr="00EC4392">
        <w:rPr>
          <w:rFonts w:ascii="Century Gothic" w:hAnsi="Century Gothic" w:cstheme="minorHAnsi"/>
          <w:color w:val="000000" w:themeColor="text1"/>
        </w:rPr>
        <w:t xml:space="preserve"> </w:t>
      </w:r>
      <w:r w:rsidR="003B68DF" w:rsidRPr="00EC4392">
        <w:rPr>
          <w:rFonts w:ascii="Century Gothic" w:hAnsi="Century Gothic" w:cstheme="minorHAnsi"/>
          <w:color w:val="000000" w:themeColor="text1"/>
        </w:rPr>
        <w:t xml:space="preserve">primary objective </w:t>
      </w:r>
      <w:r w:rsidRPr="00EC4392">
        <w:rPr>
          <w:rFonts w:ascii="Century Gothic" w:hAnsi="Century Gothic" w:cstheme="minorHAnsi"/>
          <w:color w:val="000000" w:themeColor="text1"/>
        </w:rPr>
        <w:t xml:space="preserve">- </w:t>
      </w:r>
      <w:r w:rsidR="00A656A7" w:rsidRPr="00EC4392">
        <w:rPr>
          <w:rFonts w:ascii="Century Gothic" w:hAnsi="Century Gothic" w:cstheme="minorHAnsi"/>
          <w:color w:val="000000" w:themeColor="text1"/>
        </w:rPr>
        <w:t xml:space="preserve">in accordance with </w:t>
      </w:r>
      <w:r w:rsidR="005D7A5F">
        <w:rPr>
          <w:rFonts w:ascii="Century Gothic" w:hAnsi="Century Gothic" w:cstheme="minorHAnsi"/>
          <w:color w:val="000000" w:themeColor="text1"/>
        </w:rPr>
        <w:t xml:space="preserve">tobacco program’s </w:t>
      </w:r>
      <w:r w:rsidR="00A656A7" w:rsidRPr="00EC4392">
        <w:rPr>
          <w:rFonts w:ascii="Century Gothic" w:hAnsi="Century Gothic" w:cstheme="minorHAnsi"/>
          <w:color w:val="000000" w:themeColor="text1"/>
        </w:rPr>
        <w:t>Evaluation Plan</w:t>
      </w:r>
      <w:r w:rsidR="00711D16" w:rsidRPr="00EC4392">
        <w:rPr>
          <w:rFonts w:ascii="Century Gothic" w:hAnsi="Century Gothic" w:cstheme="minorHAnsi"/>
          <w:color w:val="000000" w:themeColor="text1"/>
        </w:rPr>
        <w:t xml:space="preserve"> and in collaboration with the </w:t>
      </w:r>
      <w:r w:rsidR="005E7FED">
        <w:rPr>
          <w:rFonts w:ascii="Century Gothic" w:hAnsi="Century Gothic" w:cstheme="minorHAnsi"/>
          <w:color w:val="000000" w:themeColor="text1"/>
        </w:rPr>
        <w:t xml:space="preserve">Internal Evaluation </w:t>
      </w:r>
      <w:r w:rsidR="006710B0" w:rsidRPr="00EC4392">
        <w:rPr>
          <w:rFonts w:ascii="Century Gothic" w:hAnsi="Century Gothic" w:cstheme="minorHAnsi"/>
          <w:color w:val="000000" w:themeColor="text1"/>
        </w:rPr>
        <w:t>Project Manager</w:t>
      </w:r>
      <w:r w:rsidR="006F431F">
        <w:rPr>
          <w:rFonts w:ascii="Century Gothic" w:hAnsi="Century Gothic" w:cstheme="minorHAnsi"/>
          <w:color w:val="000000" w:themeColor="text1"/>
        </w:rPr>
        <w:t xml:space="preserve">, </w:t>
      </w:r>
      <w:r w:rsidR="00643EE5">
        <w:rPr>
          <w:rFonts w:ascii="Century Gothic" w:hAnsi="Century Gothic" w:cstheme="minorHAnsi"/>
          <w:color w:val="000000" w:themeColor="text1"/>
        </w:rPr>
        <w:t xml:space="preserve">the </w:t>
      </w:r>
      <w:r w:rsidR="005E7FED">
        <w:rPr>
          <w:rFonts w:ascii="Century Gothic" w:hAnsi="Century Gothic" w:cstheme="minorHAnsi"/>
          <w:color w:val="000000" w:themeColor="text1"/>
        </w:rPr>
        <w:t>Project Director</w:t>
      </w:r>
      <w:r w:rsidR="005D7A5F">
        <w:rPr>
          <w:rFonts w:ascii="Century Gothic" w:hAnsi="Century Gothic" w:cstheme="minorHAnsi"/>
          <w:color w:val="000000" w:themeColor="text1"/>
        </w:rPr>
        <w:t xml:space="preserve"> and/or project staff</w:t>
      </w:r>
      <w:r w:rsidR="00A656A7" w:rsidRPr="00EC4392">
        <w:rPr>
          <w:rFonts w:ascii="Century Gothic" w:hAnsi="Century Gothic" w:cstheme="minorHAnsi"/>
          <w:color w:val="000000" w:themeColor="text1"/>
        </w:rPr>
        <w:t>.  All evaluation reports will be de</w:t>
      </w:r>
      <w:r w:rsidR="00794177">
        <w:rPr>
          <w:rFonts w:ascii="Century Gothic" w:hAnsi="Century Gothic" w:cstheme="minorHAnsi"/>
          <w:color w:val="000000" w:themeColor="text1"/>
        </w:rPr>
        <w:t>veloped before the conclusion of the contract</w:t>
      </w:r>
      <w:r w:rsidR="00A656A7" w:rsidRPr="00EC4392">
        <w:rPr>
          <w:rFonts w:ascii="Century Gothic" w:hAnsi="Century Gothic" w:cstheme="minorHAnsi"/>
          <w:color w:val="000000" w:themeColor="text1"/>
        </w:rPr>
        <w:t xml:space="preserve"> and shall be prepared consistent w</w:t>
      </w:r>
      <w:r w:rsidR="00794177">
        <w:rPr>
          <w:rFonts w:ascii="Century Gothic" w:hAnsi="Century Gothic" w:cstheme="minorHAnsi"/>
          <w:color w:val="000000" w:themeColor="text1"/>
        </w:rPr>
        <w:t xml:space="preserve">ith the format described in </w:t>
      </w:r>
      <w:r w:rsidR="00A656A7" w:rsidRPr="00794177">
        <w:rPr>
          <w:rFonts w:ascii="Century Gothic" w:hAnsi="Century Gothic" w:cstheme="minorHAnsi"/>
          <w:i/>
          <w:iCs/>
          <w:color w:val="000000" w:themeColor="text1"/>
        </w:rPr>
        <w:t xml:space="preserve">Tell Your Story: Guidelines for Preparing </w:t>
      </w:r>
      <w:r w:rsidR="006710B0" w:rsidRPr="00794177">
        <w:rPr>
          <w:rFonts w:ascii="Century Gothic" w:hAnsi="Century Gothic" w:cstheme="minorHAnsi"/>
          <w:i/>
          <w:iCs/>
          <w:color w:val="000000" w:themeColor="text1"/>
        </w:rPr>
        <w:t>Useful</w:t>
      </w:r>
      <w:r w:rsidR="00A656A7" w:rsidRPr="00794177">
        <w:rPr>
          <w:rFonts w:ascii="Century Gothic" w:hAnsi="Century Gothic" w:cstheme="minorHAnsi"/>
          <w:i/>
          <w:iCs/>
          <w:color w:val="000000" w:themeColor="text1"/>
        </w:rPr>
        <w:t xml:space="preserve"> Evaluation Report</w:t>
      </w:r>
      <w:r w:rsidR="006710B0" w:rsidRPr="00794177">
        <w:rPr>
          <w:rFonts w:ascii="Century Gothic" w:hAnsi="Century Gothic" w:cstheme="minorHAnsi"/>
          <w:i/>
          <w:iCs/>
          <w:color w:val="000000" w:themeColor="text1"/>
        </w:rPr>
        <w:t>s</w:t>
      </w:r>
      <w:r w:rsidR="00A656A7" w:rsidRPr="00EC4392">
        <w:rPr>
          <w:rFonts w:ascii="Century Gothic" w:hAnsi="Century Gothic" w:cstheme="minorHAnsi"/>
          <w:i/>
          <w:iCs/>
          <w:color w:val="000000" w:themeColor="text1"/>
        </w:rPr>
        <w:t>.</w:t>
      </w:r>
    </w:p>
    <w:p w14:paraId="6CCF9571" w14:textId="46E3E699" w:rsidR="004A0442" w:rsidRPr="00EC4392" w:rsidRDefault="004A0442" w:rsidP="00A23455">
      <w:pPr>
        <w:pStyle w:val="ListParagraph"/>
        <w:numPr>
          <w:ilvl w:val="0"/>
          <w:numId w:val="1"/>
        </w:numPr>
        <w:spacing w:before="120" w:after="120"/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</w:pPr>
      <w:r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Develop the </w:t>
      </w:r>
      <w:r w:rsidR="00643EE5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tobacco program’s</w:t>
      </w:r>
      <w:r w:rsidR="00643EE5"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 </w:t>
      </w:r>
      <w:r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Evaluation Plan for the </w:t>
      </w:r>
      <w:r w:rsidR="00794177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next</w:t>
      </w:r>
      <w:r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 </w:t>
      </w:r>
      <w:r w:rsidR="00643EE5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(2021-2025) SOW</w:t>
      </w:r>
      <w:r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 period, </w:t>
      </w:r>
      <w:r w:rsidR="00B81949"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in collaboration with the </w:t>
      </w:r>
      <w:r w:rsidR="00794177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Internal Evaluation </w:t>
      </w:r>
      <w:r w:rsidR="00B81949"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Project Manager</w:t>
      </w:r>
      <w:r w:rsidR="00794177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 and Project Director</w:t>
      </w:r>
      <w:r w:rsidR="00B81949"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, </w:t>
      </w:r>
      <w:r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consistent with the </w:t>
      </w:r>
      <w:r w:rsidR="00643EE5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SOW</w:t>
      </w:r>
      <w:r w:rsidR="00643EE5"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 </w:t>
      </w:r>
      <w:r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Guidelines (released in 202</w:t>
      </w:r>
      <w:r w:rsidR="00ED5DA1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0</w:t>
      </w:r>
      <w:r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)</w:t>
      </w:r>
      <w:r w:rsidR="00794177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 xml:space="preserve">, including sample sizes, </w:t>
      </w:r>
      <w:r w:rsidR="00A23455" w:rsidRPr="00EC4392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sampling methodology</w:t>
      </w:r>
      <w:r w:rsidR="00794177">
        <w:rPr>
          <w:rFonts w:ascii="Century Gothic" w:eastAsiaTheme="minorHAnsi" w:hAnsi="Century Gothic" w:cstheme="minorHAnsi"/>
          <w:iCs/>
          <w:color w:val="000000" w:themeColor="text1"/>
          <w:sz w:val="22"/>
          <w:szCs w:val="22"/>
        </w:rPr>
        <w:t>, etc.</w:t>
      </w:r>
    </w:p>
    <w:p w14:paraId="72A50AEE" w14:textId="31C5CA5D" w:rsidR="00A656A7" w:rsidRPr="00397006" w:rsidRDefault="00A656A7" w:rsidP="004A0442">
      <w:pPr>
        <w:numPr>
          <w:ilvl w:val="0"/>
          <w:numId w:val="1"/>
        </w:numPr>
        <w:rPr>
          <w:rFonts w:ascii="Century Gothic" w:hAnsi="Century Gothic" w:cstheme="minorHAnsi"/>
        </w:rPr>
      </w:pPr>
      <w:r w:rsidRPr="00397006">
        <w:rPr>
          <w:rFonts w:ascii="Century Gothic" w:hAnsi="Century Gothic" w:cstheme="minorHAnsi"/>
        </w:rPr>
        <w:t xml:space="preserve">Perform the following evaluation activities, </w:t>
      </w:r>
      <w:r w:rsidR="00F95B95" w:rsidRPr="00397006">
        <w:rPr>
          <w:rFonts w:ascii="Century Gothic" w:hAnsi="Century Gothic" w:cstheme="minorHAnsi"/>
        </w:rPr>
        <w:t xml:space="preserve">per the non-primary and primary objectives (listed below) </w:t>
      </w:r>
      <w:r w:rsidRPr="00397006">
        <w:rPr>
          <w:rFonts w:ascii="Century Gothic" w:hAnsi="Century Gothic" w:cstheme="minorHAnsi"/>
        </w:rPr>
        <w:t xml:space="preserve">organized by </w:t>
      </w:r>
      <w:r w:rsidR="00F95B95" w:rsidRPr="00397006">
        <w:rPr>
          <w:rFonts w:ascii="Century Gothic" w:hAnsi="Century Gothic" w:cstheme="minorHAnsi"/>
        </w:rPr>
        <w:t>type of activity and year</w:t>
      </w:r>
      <w:r w:rsidRPr="00397006">
        <w:rPr>
          <w:rFonts w:ascii="Century Gothic" w:hAnsi="Century Gothic" w:cstheme="minorHAnsi"/>
        </w:rPr>
        <w:t xml:space="preserve">, in the </w:t>
      </w:r>
      <w:r w:rsidR="00643EE5">
        <w:rPr>
          <w:rFonts w:ascii="Century Gothic" w:hAnsi="Century Gothic" w:cstheme="minorHAnsi"/>
        </w:rPr>
        <w:t>tobacco program’s</w:t>
      </w:r>
      <w:r w:rsidR="00643EE5" w:rsidRPr="00397006">
        <w:rPr>
          <w:rFonts w:ascii="Century Gothic" w:hAnsi="Century Gothic" w:cstheme="minorHAnsi"/>
        </w:rPr>
        <w:t xml:space="preserve"> </w:t>
      </w:r>
      <w:r w:rsidRPr="00397006">
        <w:rPr>
          <w:rFonts w:ascii="Century Gothic" w:hAnsi="Century Gothic" w:cstheme="minorHAnsi"/>
        </w:rPr>
        <w:t>2017-20</w:t>
      </w:r>
      <w:r w:rsidR="003B68DF" w:rsidRPr="00397006">
        <w:rPr>
          <w:rFonts w:ascii="Century Gothic" w:hAnsi="Century Gothic" w:cstheme="minorHAnsi"/>
        </w:rPr>
        <w:t>21</w:t>
      </w:r>
      <w:r w:rsidRPr="00397006">
        <w:rPr>
          <w:rFonts w:ascii="Century Gothic" w:hAnsi="Century Gothic" w:cstheme="minorHAnsi"/>
        </w:rPr>
        <w:t xml:space="preserve"> CTCP </w:t>
      </w:r>
      <w:r w:rsidR="00643EE5">
        <w:rPr>
          <w:rFonts w:ascii="Century Gothic" w:hAnsi="Century Gothic" w:cstheme="minorHAnsi"/>
        </w:rPr>
        <w:t>SOW</w:t>
      </w:r>
      <w:r w:rsidRPr="00397006">
        <w:rPr>
          <w:rFonts w:ascii="Century Gothic" w:hAnsi="Century Gothic" w:cstheme="minorHAnsi"/>
        </w:rPr>
        <w:t>:</w:t>
      </w:r>
    </w:p>
    <w:p w14:paraId="61CDEB5D" w14:textId="77777777" w:rsidR="00287D62" w:rsidRDefault="00287D62" w:rsidP="004D59DE">
      <w:pPr>
        <w:ind w:left="1080"/>
        <w:rPr>
          <w:rFonts w:ascii="Century Gothic" w:hAnsi="Century Gothic" w:cstheme="minorHAnsi"/>
          <w:b/>
        </w:rPr>
      </w:pPr>
    </w:p>
    <w:p w14:paraId="40A14878" w14:textId="77777777" w:rsidR="00CA54D3" w:rsidRPr="00397006" w:rsidRDefault="008B39E1" w:rsidP="004D59DE">
      <w:pPr>
        <w:ind w:left="1080"/>
        <w:rPr>
          <w:rFonts w:ascii="Century Gothic" w:hAnsi="Century Gothic" w:cstheme="minorHAnsi"/>
          <w:b/>
        </w:rPr>
      </w:pPr>
      <w:r w:rsidRPr="00397006">
        <w:rPr>
          <w:rFonts w:ascii="Century Gothic" w:hAnsi="Century Gothic" w:cstheme="minorHAnsi"/>
          <w:b/>
        </w:rPr>
        <w:t>[List each objective here]</w:t>
      </w:r>
      <w:r w:rsidR="00CA54D3" w:rsidRPr="00397006">
        <w:rPr>
          <w:rFonts w:ascii="Century Gothic" w:hAnsi="Century Gothic" w:cstheme="minorHAnsi"/>
          <w:b/>
          <w:bCs/>
        </w:rPr>
        <w:br w:type="page"/>
      </w:r>
    </w:p>
    <w:tbl>
      <w:tblPr>
        <w:tblStyle w:val="TableGrid"/>
        <w:tblW w:w="9072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8"/>
        <w:gridCol w:w="1656"/>
        <w:gridCol w:w="1656"/>
        <w:gridCol w:w="1656"/>
        <w:gridCol w:w="1656"/>
      </w:tblGrid>
      <w:tr w:rsidR="00D73552" w:rsidRPr="004D59DE" w14:paraId="320BDF1B" w14:textId="77777777" w:rsidTr="00D6035A">
        <w:trPr>
          <w:tblHeader/>
        </w:trPr>
        <w:tc>
          <w:tcPr>
            <w:tcW w:w="2448" w:type="dxa"/>
            <w:shd w:val="clear" w:color="auto" w:fill="D9D9D9" w:themeFill="background1" w:themeFillShade="D9"/>
          </w:tcPr>
          <w:p w14:paraId="0665EEC0" w14:textId="77777777" w:rsidR="00D73552" w:rsidRPr="00397006" w:rsidRDefault="00D73552" w:rsidP="00AC656D">
            <w:pPr>
              <w:spacing w:before="100" w:after="10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97006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Evaluation Services</w:t>
            </w:r>
          </w:p>
        </w:tc>
        <w:tc>
          <w:tcPr>
            <w:tcW w:w="1656" w:type="dxa"/>
          </w:tcPr>
          <w:p w14:paraId="0F84F659" w14:textId="77777777" w:rsidR="00D73552" w:rsidRPr="00397006" w:rsidRDefault="00D73552" w:rsidP="00AC656D">
            <w:pPr>
              <w:spacing w:before="100" w:after="10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97006">
              <w:rPr>
                <w:rFonts w:ascii="Century Gothic" w:hAnsi="Century Gothic" w:cstheme="minorHAnsi"/>
                <w:b/>
                <w:sz w:val="20"/>
                <w:szCs w:val="20"/>
              </w:rPr>
              <w:t>17/18</w:t>
            </w:r>
          </w:p>
        </w:tc>
        <w:tc>
          <w:tcPr>
            <w:tcW w:w="1656" w:type="dxa"/>
            <w:shd w:val="clear" w:color="auto" w:fill="FCCBB2"/>
          </w:tcPr>
          <w:p w14:paraId="7AEB6974" w14:textId="77777777" w:rsidR="00D73552" w:rsidRPr="00397006" w:rsidRDefault="00D73552" w:rsidP="00AC656D">
            <w:pPr>
              <w:spacing w:before="100" w:after="10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97006">
              <w:rPr>
                <w:rFonts w:ascii="Century Gothic" w:hAnsi="Century Gothic" w:cstheme="minorHAnsi"/>
                <w:b/>
                <w:sz w:val="20"/>
                <w:szCs w:val="20"/>
              </w:rPr>
              <w:t>18/19</w:t>
            </w:r>
          </w:p>
        </w:tc>
        <w:tc>
          <w:tcPr>
            <w:tcW w:w="1656" w:type="dxa"/>
          </w:tcPr>
          <w:p w14:paraId="34397F07" w14:textId="77777777" w:rsidR="00D73552" w:rsidRPr="00397006" w:rsidRDefault="00D73552" w:rsidP="00AC656D">
            <w:pPr>
              <w:spacing w:before="100" w:after="10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97006">
              <w:rPr>
                <w:rFonts w:ascii="Century Gothic" w:hAnsi="Century Gothic" w:cstheme="minorHAnsi"/>
                <w:b/>
                <w:sz w:val="20"/>
                <w:szCs w:val="20"/>
              </w:rPr>
              <w:t>19/20</w:t>
            </w:r>
          </w:p>
        </w:tc>
        <w:tc>
          <w:tcPr>
            <w:tcW w:w="1656" w:type="dxa"/>
            <w:shd w:val="clear" w:color="auto" w:fill="FCCBB2"/>
          </w:tcPr>
          <w:p w14:paraId="1CCAFB00" w14:textId="77777777" w:rsidR="00D73552" w:rsidRPr="00397006" w:rsidRDefault="00D73552" w:rsidP="00AC656D">
            <w:pPr>
              <w:spacing w:before="100" w:after="10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97006">
              <w:rPr>
                <w:rFonts w:ascii="Century Gothic" w:hAnsi="Century Gothic" w:cstheme="minorHAnsi"/>
                <w:b/>
                <w:sz w:val="20"/>
                <w:szCs w:val="20"/>
              </w:rPr>
              <w:t>20/21</w:t>
            </w:r>
          </w:p>
        </w:tc>
      </w:tr>
      <w:tr w:rsidR="00EC4392" w:rsidRPr="004D59DE" w14:paraId="75BB7F35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0C7AD9D1" w14:textId="77777777" w:rsidR="00EC4392" w:rsidRPr="00D6035A" w:rsidRDefault="00EC439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Evaluation Plan Development </w:t>
            </w:r>
            <w:r w:rsidRPr="00D6035A">
              <w:rPr>
                <w:rFonts w:ascii="Century Gothic" w:hAnsi="Century Gothic" w:cstheme="minorHAnsi"/>
                <w:sz w:val="16"/>
                <w:szCs w:val="16"/>
              </w:rPr>
              <w:t>(including CTCP negotiations and revisions)</w:t>
            </w:r>
          </w:p>
        </w:tc>
        <w:tc>
          <w:tcPr>
            <w:tcW w:w="1656" w:type="dxa"/>
          </w:tcPr>
          <w:p w14:paraId="6002D395" w14:textId="1F2E37D1" w:rsidR="00EC4392" w:rsidRPr="004D59DE" w:rsidRDefault="00EC439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Development of the Tobacco </w:t>
            </w:r>
            <w:r w:rsidR="006F431F">
              <w:rPr>
                <w:rFonts w:ascii="Century Gothic" w:hAnsi="Century Gothic" w:cstheme="minorHAnsi"/>
                <w:sz w:val="16"/>
                <w:szCs w:val="16"/>
              </w:rPr>
              <w:t xml:space="preserve">Control 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>Program’s 201</w:t>
            </w:r>
            <w:r w:rsidR="005E7FED">
              <w:rPr>
                <w:rFonts w:ascii="Century Gothic" w:hAnsi="Century Gothic" w:cstheme="minorHAnsi"/>
                <w:sz w:val="16"/>
                <w:szCs w:val="16"/>
              </w:rPr>
              <w:t>7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>-2021 Evaluation Plan</w:t>
            </w:r>
          </w:p>
        </w:tc>
        <w:tc>
          <w:tcPr>
            <w:tcW w:w="1656" w:type="dxa"/>
            <w:shd w:val="clear" w:color="auto" w:fill="FCCBB2"/>
          </w:tcPr>
          <w:p w14:paraId="677BDEDB" w14:textId="77777777" w:rsidR="00EC4392" w:rsidRPr="004D59DE" w:rsidRDefault="00EC439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Revision to Evaluation Plan, if necessary</w:t>
            </w:r>
          </w:p>
        </w:tc>
        <w:tc>
          <w:tcPr>
            <w:tcW w:w="1656" w:type="dxa"/>
          </w:tcPr>
          <w:p w14:paraId="16216EB3" w14:textId="77777777" w:rsidR="00EC4392" w:rsidRPr="004D59DE" w:rsidRDefault="00EC439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Revision to Evaluation Plan, if necessary</w:t>
            </w:r>
          </w:p>
        </w:tc>
        <w:tc>
          <w:tcPr>
            <w:tcW w:w="1656" w:type="dxa"/>
            <w:shd w:val="clear" w:color="auto" w:fill="FCCBB2"/>
          </w:tcPr>
          <w:p w14:paraId="1BA0752A" w14:textId="2C24E29B" w:rsidR="00EC4392" w:rsidRPr="004D59DE" w:rsidRDefault="00EC439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Development of the </w:t>
            </w:r>
            <w:r w:rsidR="00794177">
              <w:rPr>
                <w:rFonts w:ascii="Century Gothic" w:hAnsi="Century Gothic" w:cstheme="minorHAnsi"/>
                <w:sz w:val="16"/>
                <w:szCs w:val="16"/>
              </w:rPr>
              <w:t>Agency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’s 2021-2025 CTCP’s Evaluation Plan </w:t>
            </w:r>
          </w:p>
        </w:tc>
      </w:tr>
      <w:tr w:rsidR="00EC4392" w:rsidRPr="004D59DE" w14:paraId="58A6D7E4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350C01E0" w14:textId="77777777" w:rsidR="00EC4392" w:rsidRPr="00D6035A" w:rsidRDefault="00EC439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Evaluation Plan Monitoring, Scheduling, Implementation &amp; Data Discussion</w:t>
            </w:r>
          </w:p>
        </w:tc>
        <w:tc>
          <w:tcPr>
            <w:tcW w:w="1656" w:type="dxa"/>
          </w:tcPr>
          <w:p w14:paraId="28B0BE53" w14:textId="0BF11620" w:rsidR="00EC4392" w:rsidRPr="004D59DE" w:rsidRDefault="00EC439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Regular (monthly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or as needed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) meetings with </w:t>
            </w:r>
            <w:r w:rsidR="005D7A5F" w:rsidRPr="004D59DE">
              <w:rPr>
                <w:rFonts w:ascii="Century Gothic" w:hAnsi="Century Gothic" w:cstheme="minorHAnsi"/>
                <w:sz w:val="16"/>
                <w:szCs w:val="16"/>
              </w:rPr>
              <w:t>P</w:t>
            </w:r>
            <w:r w:rsidR="005D7A5F">
              <w:rPr>
                <w:rFonts w:ascii="Century Gothic" w:hAnsi="Century Gothic" w:cstheme="minorHAnsi"/>
                <w:sz w:val="16"/>
                <w:szCs w:val="16"/>
              </w:rPr>
              <w:t>D/EPM</w:t>
            </w:r>
          </w:p>
        </w:tc>
        <w:tc>
          <w:tcPr>
            <w:tcW w:w="1656" w:type="dxa"/>
            <w:shd w:val="clear" w:color="auto" w:fill="FCCBB2"/>
          </w:tcPr>
          <w:p w14:paraId="1F8248BA" w14:textId="3AEA6FEA" w:rsidR="00EC4392" w:rsidRPr="004D59DE" w:rsidRDefault="00EC439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Regular </w:t>
            </w:r>
            <w:r w:rsidRPr="006531B2">
              <w:rPr>
                <w:rFonts w:ascii="Century Gothic" w:hAnsi="Century Gothic" w:cstheme="minorHAnsi"/>
                <w:sz w:val="16"/>
                <w:szCs w:val="16"/>
              </w:rPr>
              <w:t xml:space="preserve">(monthly or as needed) 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meetings with </w:t>
            </w:r>
            <w:r w:rsidR="005D7A5F" w:rsidRPr="004D59DE">
              <w:rPr>
                <w:rFonts w:ascii="Century Gothic" w:hAnsi="Century Gothic" w:cstheme="minorHAnsi"/>
                <w:sz w:val="16"/>
                <w:szCs w:val="16"/>
              </w:rPr>
              <w:t>P</w:t>
            </w:r>
            <w:r w:rsidR="005D7A5F">
              <w:rPr>
                <w:rFonts w:ascii="Century Gothic" w:hAnsi="Century Gothic" w:cstheme="minorHAnsi"/>
                <w:sz w:val="16"/>
                <w:szCs w:val="16"/>
              </w:rPr>
              <w:t>D/EPM</w:t>
            </w:r>
          </w:p>
        </w:tc>
        <w:tc>
          <w:tcPr>
            <w:tcW w:w="1656" w:type="dxa"/>
          </w:tcPr>
          <w:p w14:paraId="642CC17D" w14:textId="4ED436E1" w:rsidR="00EC4392" w:rsidRPr="004D59DE" w:rsidRDefault="00EC439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Regular </w:t>
            </w:r>
            <w:r w:rsidRPr="006531B2">
              <w:rPr>
                <w:rFonts w:ascii="Century Gothic" w:hAnsi="Century Gothic" w:cstheme="minorHAnsi"/>
                <w:sz w:val="16"/>
                <w:szCs w:val="16"/>
              </w:rPr>
              <w:t xml:space="preserve">(monthly or as needed) 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>meetings with P</w:t>
            </w:r>
            <w:r w:rsidR="005D7A5F">
              <w:rPr>
                <w:rFonts w:ascii="Century Gothic" w:hAnsi="Century Gothic" w:cstheme="minorHAnsi"/>
                <w:sz w:val="16"/>
                <w:szCs w:val="16"/>
              </w:rPr>
              <w:t>D/EPM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56" w:type="dxa"/>
            <w:shd w:val="clear" w:color="auto" w:fill="FCCBB2"/>
          </w:tcPr>
          <w:p w14:paraId="2407C1E9" w14:textId="3E4A2B88" w:rsidR="00EC4392" w:rsidRPr="004D59DE" w:rsidRDefault="00EC439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Regular </w:t>
            </w:r>
            <w:r w:rsidRPr="006531B2">
              <w:rPr>
                <w:rFonts w:ascii="Century Gothic" w:hAnsi="Century Gothic" w:cstheme="minorHAnsi"/>
                <w:sz w:val="16"/>
                <w:szCs w:val="16"/>
              </w:rPr>
              <w:t xml:space="preserve">(monthly or as needed) 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meetings with </w:t>
            </w:r>
            <w:r w:rsidR="005D7A5F" w:rsidRPr="004D59DE">
              <w:rPr>
                <w:rFonts w:ascii="Century Gothic" w:hAnsi="Century Gothic" w:cstheme="minorHAnsi"/>
                <w:sz w:val="16"/>
                <w:szCs w:val="16"/>
              </w:rPr>
              <w:t>P</w:t>
            </w:r>
            <w:r w:rsidR="005D7A5F">
              <w:rPr>
                <w:rFonts w:ascii="Century Gothic" w:hAnsi="Century Gothic" w:cstheme="minorHAnsi"/>
                <w:sz w:val="16"/>
                <w:szCs w:val="16"/>
              </w:rPr>
              <w:t>D/EPM</w:t>
            </w:r>
          </w:p>
        </w:tc>
      </w:tr>
      <w:tr w:rsidR="00D73552" w:rsidRPr="004D59DE" w14:paraId="1FA5E450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13B53447" w14:textId="2135FDEB" w:rsidR="00D73552" w:rsidRPr="00D6035A" w:rsidRDefault="00D7355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Develop all data collection instruments and protocols (</w:t>
            </w:r>
            <w:r w:rsidR="00643EE5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</w:t>
            </w: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15-17), technical assistance on data collection and data entry</w:t>
            </w:r>
          </w:p>
        </w:tc>
        <w:tc>
          <w:tcPr>
            <w:tcW w:w="1656" w:type="dxa"/>
          </w:tcPr>
          <w:p w14:paraId="29A3313B" w14:textId="77777777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15-17 Instruments</w:t>
            </w:r>
          </w:p>
        </w:tc>
        <w:tc>
          <w:tcPr>
            <w:tcW w:w="1656" w:type="dxa"/>
            <w:shd w:val="clear" w:color="auto" w:fill="FCCBB2"/>
          </w:tcPr>
          <w:p w14:paraId="74A46911" w14:textId="77777777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HSHC Campaign</w:t>
            </w:r>
          </w:p>
        </w:tc>
        <w:tc>
          <w:tcPr>
            <w:tcW w:w="1656" w:type="dxa"/>
          </w:tcPr>
          <w:p w14:paraId="089850DB" w14:textId="3E74D96C" w:rsidR="00D73552" w:rsidRPr="004D59DE" w:rsidRDefault="002C3D36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HSHC Campaign</w:t>
            </w:r>
          </w:p>
        </w:tc>
        <w:tc>
          <w:tcPr>
            <w:tcW w:w="1656" w:type="dxa"/>
            <w:shd w:val="clear" w:color="auto" w:fill="FCCBB2"/>
          </w:tcPr>
          <w:p w14:paraId="56629974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</w:tr>
      <w:tr w:rsidR="00D73552" w:rsidRPr="004D59DE" w14:paraId="1E21089C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3A349D7D" w14:textId="77777777" w:rsidR="00D73552" w:rsidRPr="00D6035A" w:rsidRDefault="00D7355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Conduct data collection trainings</w:t>
            </w:r>
          </w:p>
        </w:tc>
        <w:tc>
          <w:tcPr>
            <w:tcW w:w="1656" w:type="dxa"/>
          </w:tcPr>
          <w:p w14:paraId="0F8AA8BE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Litter Clean up</w:t>
            </w:r>
          </w:p>
        </w:tc>
        <w:tc>
          <w:tcPr>
            <w:tcW w:w="1656" w:type="dxa"/>
            <w:shd w:val="clear" w:color="auto" w:fill="FCCBB2"/>
          </w:tcPr>
          <w:p w14:paraId="55783CD1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  <w:tc>
          <w:tcPr>
            <w:tcW w:w="1656" w:type="dxa"/>
          </w:tcPr>
          <w:p w14:paraId="00C1F5D2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Obs. Survey</w:t>
            </w:r>
          </w:p>
        </w:tc>
        <w:tc>
          <w:tcPr>
            <w:tcW w:w="1656" w:type="dxa"/>
            <w:shd w:val="clear" w:color="auto" w:fill="FCCBB2"/>
          </w:tcPr>
          <w:p w14:paraId="2C002F3D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</w:tr>
      <w:tr w:rsidR="00D73552" w:rsidRPr="004D59DE" w14:paraId="2512F635" w14:textId="77777777" w:rsidTr="00AC656D">
        <w:trPr>
          <w:trHeight w:val="593"/>
        </w:trPr>
        <w:tc>
          <w:tcPr>
            <w:tcW w:w="2448" w:type="dxa"/>
            <w:shd w:val="clear" w:color="auto" w:fill="D9D9D9" w:themeFill="background1" w:themeFillShade="D9"/>
          </w:tcPr>
          <w:p w14:paraId="745418A8" w14:textId="77777777" w:rsidR="00D73552" w:rsidRPr="00D6035A" w:rsidRDefault="00D7355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Data collection</w:t>
            </w:r>
          </w:p>
        </w:tc>
        <w:tc>
          <w:tcPr>
            <w:tcW w:w="1656" w:type="dxa"/>
          </w:tcPr>
          <w:p w14:paraId="5942CE44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KIIs</w:t>
            </w:r>
          </w:p>
        </w:tc>
        <w:tc>
          <w:tcPr>
            <w:tcW w:w="1656" w:type="dxa"/>
            <w:shd w:val="clear" w:color="auto" w:fill="FCCBB2"/>
          </w:tcPr>
          <w:p w14:paraId="72EFF837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Focus Group</w:t>
            </w:r>
          </w:p>
        </w:tc>
        <w:tc>
          <w:tcPr>
            <w:tcW w:w="1656" w:type="dxa"/>
          </w:tcPr>
          <w:p w14:paraId="7B125D4C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KIIs</w:t>
            </w:r>
          </w:p>
        </w:tc>
        <w:tc>
          <w:tcPr>
            <w:tcW w:w="1656" w:type="dxa"/>
            <w:shd w:val="clear" w:color="auto" w:fill="FCCBB2"/>
          </w:tcPr>
          <w:p w14:paraId="0A922E9D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</w:tr>
      <w:tr w:rsidR="00D73552" w:rsidRPr="004D59DE" w14:paraId="41DDAB4F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637C196E" w14:textId="77777777" w:rsidR="00D73552" w:rsidRPr="00D6035A" w:rsidRDefault="00D7355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Develop all evaluation activity reports</w:t>
            </w:r>
          </w:p>
          <w:p w14:paraId="2AE88A6C" w14:textId="77777777" w:rsidR="00D73552" w:rsidRPr="00D6035A" w:rsidRDefault="008F4F38" w:rsidP="00AC656D">
            <w:pPr>
              <w:pStyle w:val="ListParagraph"/>
              <w:spacing w:before="100" w:after="100"/>
              <w:ind w:left="162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25-30</w:t>
            </w:r>
            <w:r w:rsidR="00D73552"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total reports</w:t>
            </w:r>
          </w:p>
        </w:tc>
        <w:tc>
          <w:tcPr>
            <w:tcW w:w="1656" w:type="dxa"/>
          </w:tcPr>
          <w:p w14:paraId="36131592" w14:textId="77AEDE8A" w:rsidR="002C3D36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6-10 </w:t>
            </w:r>
            <w:r w:rsidR="00643EE5">
              <w:rPr>
                <w:rFonts w:ascii="Century Gothic" w:hAnsi="Century Gothic" w:cstheme="minorHAnsi"/>
                <w:sz w:val="16"/>
                <w:szCs w:val="16"/>
              </w:rPr>
              <w:t>evaluation activity reports</w:t>
            </w:r>
          </w:p>
        </w:tc>
        <w:tc>
          <w:tcPr>
            <w:tcW w:w="1656" w:type="dxa"/>
            <w:shd w:val="clear" w:color="auto" w:fill="FCCBB2"/>
          </w:tcPr>
          <w:p w14:paraId="152F4EB2" w14:textId="28009426" w:rsidR="00D73552" w:rsidRPr="004D59DE" w:rsidRDefault="00643EE5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643EE5">
              <w:rPr>
                <w:rFonts w:ascii="Century Gothic" w:hAnsi="Century Gothic" w:cstheme="minorHAnsi"/>
                <w:sz w:val="16"/>
                <w:szCs w:val="16"/>
              </w:rPr>
              <w:t>6-10 evaluation activity reports</w:t>
            </w:r>
            <w:r w:rsidRPr="00643EE5" w:rsidDel="00643EE5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56" w:type="dxa"/>
          </w:tcPr>
          <w:p w14:paraId="52EAAF2C" w14:textId="3940453B" w:rsidR="002C3D36" w:rsidRPr="004D59DE" w:rsidRDefault="00643EE5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643EE5">
              <w:rPr>
                <w:rFonts w:ascii="Century Gothic" w:hAnsi="Century Gothic" w:cstheme="minorHAnsi"/>
                <w:sz w:val="16"/>
                <w:szCs w:val="16"/>
              </w:rPr>
              <w:t>6-10 evaluation activity reports</w:t>
            </w:r>
          </w:p>
        </w:tc>
        <w:tc>
          <w:tcPr>
            <w:tcW w:w="1656" w:type="dxa"/>
            <w:shd w:val="clear" w:color="auto" w:fill="FCCBB2"/>
          </w:tcPr>
          <w:p w14:paraId="104F00C8" w14:textId="71ACB096" w:rsidR="00D73552" w:rsidRPr="004D59DE" w:rsidRDefault="00643EE5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643EE5">
              <w:rPr>
                <w:rFonts w:ascii="Century Gothic" w:hAnsi="Century Gothic" w:cstheme="minorHAnsi"/>
                <w:sz w:val="16"/>
                <w:szCs w:val="16"/>
              </w:rPr>
              <w:t>6-10 evaluation activity reports</w:t>
            </w:r>
          </w:p>
        </w:tc>
      </w:tr>
      <w:tr w:rsidR="00D73552" w:rsidRPr="004D59DE" w14:paraId="78B2D645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7001C772" w14:textId="77777777" w:rsidR="00D73552" w:rsidRPr="00D6035A" w:rsidRDefault="00D7355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Evaluation Activity Reporting in OTIS</w:t>
            </w:r>
          </w:p>
        </w:tc>
        <w:tc>
          <w:tcPr>
            <w:tcW w:w="1656" w:type="dxa"/>
          </w:tcPr>
          <w:p w14:paraId="0F4D40C6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  <w:tc>
          <w:tcPr>
            <w:tcW w:w="1656" w:type="dxa"/>
            <w:shd w:val="clear" w:color="auto" w:fill="FCCBB2"/>
          </w:tcPr>
          <w:p w14:paraId="21BAB630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  <w:tc>
          <w:tcPr>
            <w:tcW w:w="1656" w:type="dxa"/>
          </w:tcPr>
          <w:p w14:paraId="12EC0324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  <w:tc>
          <w:tcPr>
            <w:tcW w:w="1656" w:type="dxa"/>
            <w:shd w:val="clear" w:color="auto" w:fill="FCCBB2"/>
          </w:tcPr>
          <w:p w14:paraId="03413C4C" w14:textId="77777777" w:rsidR="00D73552" w:rsidRPr="004D59DE" w:rsidRDefault="00D6035A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</w:tr>
      <w:tr w:rsidR="00D73552" w:rsidRPr="004D59DE" w14:paraId="3B7E09F4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7FD30AC7" w14:textId="77777777" w:rsidR="00D73552" w:rsidRPr="00D6035A" w:rsidRDefault="00D7355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Final Evaluation Reporting</w:t>
            </w:r>
          </w:p>
        </w:tc>
        <w:tc>
          <w:tcPr>
            <w:tcW w:w="1656" w:type="dxa"/>
          </w:tcPr>
          <w:p w14:paraId="5E5172D8" w14:textId="77777777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  <w:tc>
          <w:tcPr>
            <w:tcW w:w="1656" w:type="dxa"/>
            <w:shd w:val="clear" w:color="auto" w:fill="FCCBB2"/>
          </w:tcPr>
          <w:p w14:paraId="75AFC0BA" w14:textId="77777777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  <w:tc>
          <w:tcPr>
            <w:tcW w:w="1656" w:type="dxa"/>
          </w:tcPr>
          <w:p w14:paraId="72818DDD" w14:textId="77777777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-</w:t>
            </w:r>
          </w:p>
        </w:tc>
        <w:tc>
          <w:tcPr>
            <w:tcW w:w="1656" w:type="dxa"/>
            <w:shd w:val="clear" w:color="auto" w:fill="FCCBB2"/>
          </w:tcPr>
          <w:p w14:paraId="6F2C3F82" w14:textId="493725CA" w:rsidR="00D73552" w:rsidRPr="004D59DE" w:rsidRDefault="005D7A5F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3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D73552" w:rsidRPr="004D59DE">
              <w:rPr>
                <w:rFonts w:ascii="Century Gothic" w:hAnsi="Century Gothic" w:cstheme="minorHAnsi"/>
                <w:sz w:val="16"/>
                <w:szCs w:val="16"/>
              </w:rPr>
              <w:t>Brief Evaluation Reports</w:t>
            </w:r>
          </w:p>
          <w:p w14:paraId="0F8D518B" w14:textId="77777777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1 Final Evaluation Report</w:t>
            </w:r>
          </w:p>
        </w:tc>
      </w:tr>
      <w:tr w:rsidR="00D73552" w:rsidRPr="004D59DE" w14:paraId="2585C004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6D50A1EA" w14:textId="77777777" w:rsidR="00D73552" w:rsidRPr="00D6035A" w:rsidRDefault="00D7355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Statewide Meetings/TCEC Trainings </w:t>
            </w:r>
            <w:r w:rsidR="009C2CA4" w:rsidRPr="00D6035A">
              <w:rPr>
                <w:rFonts w:ascii="Century Gothic" w:hAnsi="Century Gothic" w:cstheme="minorHAnsi"/>
                <w:sz w:val="16"/>
                <w:szCs w:val="16"/>
              </w:rPr>
              <w:t>(costs shared by 4 projects)</w:t>
            </w:r>
          </w:p>
        </w:tc>
        <w:tc>
          <w:tcPr>
            <w:tcW w:w="1656" w:type="dxa"/>
          </w:tcPr>
          <w:p w14:paraId="20B36033" w14:textId="77777777" w:rsidR="00D73552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1-2 in-person and 2-3 online Statewide Meetings/TCEC Regional Trainings per year</w:t>
            </w:r>
          </w:p>
          <w:p w14:paraId="49608AC3" w14:textId="1C7E50BB" w:rsidR="0029796D" w:rsidRPr="004D59DE" w:rsidRDefault="0029796D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2-3 Communities of Practice meetings per year</w:t>
            </w:r>
          </w:p>
        </w:tc>
        <w:tc>
          <w:tcPr>
            <w:tcW w:w="1656" w:type="dxa"/>
            <w:shd w:val="clear" w:color="auto" w:fill="FCCBB2"/>
          </w:tcPr>
          <w:p w14:paraId="75977E88" w14:textId="77777777" w:rsidR="00D73552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1-2 in-person and 2-3 online Statewide Meetings/TCEC Regional Trainings per year</w:t>
            </w:r>
          </w:p>
          <w:p w14:paraId="17B84551" w14:textId="6AC1B191" w:rsidR="0029796D" w:rsidRPr="004D59DE" w:rsidRDefault="0029796D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29796D">
              <w:rPr>
                <w:rFonts w:ascii="Century Gothic" w:hAnsi="Century Gothic" w:cstheme="minorHAnsi"/>
                <w:sz w:val="16"/>
                <w:szCs w:val="16"/>
              </w:rPr>
              <w:t>2-3 Communities of Practice meetings per year</w:t>
            </w:r>
          </w:p>
        </w:tc>
        <w:tc>
          <w:tcPr>
            <w:tcW w:w="1656" w:type="dxa"/>
          </w:tcPr>
          <w:p w14:paraId="7C51D520" w14:textId="77777777" w:rsidR="00D73552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1-2 in-person and 2-3 online Statewide Meetings/TCEC Regional Trainings per year</w:t>
            </w:r>
          </w:p>
          <w:p w14:paraId="1347EC2D" w14:textId="5AEBDFF8" w:rsidR="0029796D" w:rsidRPr="004D59DE" w:rsidRDefault="0029796D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29796D">
              <w:rPr>
                <w:rFonts w:ascii="Century Gothic" w:hAnsi="Century Gothic" w:cstheme="minorHAnsi"/>
                <w:sz w:val="16"/>
                <w:szCs w:val="16"/>
              </w:rPr>
              <w:t>2-3 Communities of Practice meetings per year</w:t>
            </w:r>
          </w:p>
        </w:tc>
        <w:tc>
          <w:tcPr>
            <w:tcW w:w="1656" w:type="dxa"/>
            <w:shd w:val="clear" w:color="auto" w:fill="FCCBB2"/>
          </w:tcPr>
          <w:p w14:paraId="4FD0F9F0" w14:textId="77777777" w:rsidR="00D73552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>1-2 in-person and 2-3 online Statewide Meetings/TCEC Regional Trainings per year</w:t>
            </w:r>
          </w:p>
          <w:p w14:paraId="493C3338" w14:textId="6596E1E5" w:rsidR="0029796D" w:rsidRPr="004D59DE" w:rsidRDefault="0029796D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29796D">
              <w:rPr>
                <w:rFonts w:ascii="Century Gothic" w:hAnsi="Century Gothic" w:cstheme="minorHAnsi"/>
                <w:sz w:val="16"/>
                <w:szCs w:val="16"/>
              </w:rPr>
              <w:t>2-3 Communities of Practice meetings per year</w:t>
            </w:r>
          </w:p>
        </w:tc>
      </w:tr>
      <w:tr w:rsidR="00D73552" w:rsidRPr="004D59DE" w14:paraId="190C1F71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172416AC" w14:textId="77777777" w:rsidR="00D73552" w:rsidRPr="00D6035A" w:rsidRDefault="00D73552" w:rsidP="00AC656D">
            <w:pPr>
              <w:pStyle w:val="ListParagraph"/>
              <w:numPr>
                <w:ilvl w:val="0"/>
                <w:numId w:val="9"/>
              </w:numPr>
              <w:spacing w:before="100" w:after="100"/>
              <w:ind w:left="162" w:hanging="180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16"/>
                <w:szCs w:val="16"/>
              </w:rPr>
              <w:t>Other</w:t>
            </w:r>
          </w:p>
        </w:tc>
        <w:tc>
          <w:tcPr>
            <w:tcW w:w="1656" w:type="dxa"/>
          </w:tcPr>
          <w:p w14:paraId="5E868752" w14:textId="603DABA9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Travel to </w:t>
            </w:r>
            <w:r w:rsidR="00794177">
              <w:rPr>
                <w:rFonts w:ascii="Century Gothic" w:hAnsi="Century Gothic" w:cstheme="minorHAnsi"/>
                <w:sz w:val="16"/>
                <w:szCs w:val="16"/>
              </w:rPr>
              <w:t>Agency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 twice per year for data collection trainings and/or data presentations</w:t>
            </w:r>
          </w:p>
        </w:tc>
        <w:tc>
          <w:tcPr>
            <w:tcW w:w="1656" w:type="dxa"/>
            <w:shd w:val="clear" w:color="auto" w:fill="FCCBB2"/>
          </w:tcPr>
          <w:p w14:paraId="6A022F86" w14:textId="680A25C9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Travel to </w:t>
            </w:r>
            <w:r w:rsidR="00794177">
              <w:rPr>
                <w:rFonts w:ascii="Century Gothic" w:hAnsi="Century Gothic" w:cstheme="minorHAnsi"/>
                <w:sz w:val="16"/>
                <w:szCs w:val="16"/>
              </w:rPr>
              <w:t>Agency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 twice per year for data collection trainings and/or data presentations</w:t>
            </w:r>
          </w:p>
        </w:tc>
        <w:tc>
          <w:tcPr>
            <w:tcW w:w="1656" w:type="dxa"/>
          </w:tcPr>
          <w:p w14:paraId="70E6269B" w14:textId="504CDC65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Travel to </w:t>
            </w:r>
            <w:r w:rsidR="00794177">
              <w:rPr>
                <w:rFonts w:ascii="Century Gothic" w:hAnsi="Century Gothic" w:cstheme="minorHAnsi"/>
                <w:sz w:val="16"/>
                <w:szCs w:val="16"/>
              </w:rPr>
              <w:t>Agency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 twice per year for data collection trainings and/or data presentations</w:t>
            </w:r>
          </w:p>
        </w:tc>
        <w:tc>
          <w:tcPr>
            <w:tcW w:w="1656" w:type="dxa"/>
            <w:shd w:val="clear" w:color="auto" w:fill="FCCBB2"/>
          </w:tcPr>
          <w:p w14:paraId="4863FCF9" w14:textId="77777777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Collecting data (secondary data) for CX Needs Assessment </w:t>
            </w:r>
          </w:p>
          <w:p w14:paraId="3EECAF41" w14:textId="78697F83" w:rsidR="00D73552" w:rsidRPr="004D59DE" w:rsidRDefault="00D73552" w:rsidP="00AC656D">
            <w:pPr>
              <w:spacing w:before="100" w:after="100"/>
              <w:rPr>
                <w:rFonts w:ascii="Century Gothic" w:hAnsi="Century Gothic" w:cstheme="minorHAnsi"/>
                <w:sz w:val="16"/>
                <w:szCs w:val="16"/>
              </w:rPr>
            </w:pP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Travel to </w:t>
            </w:r>
            <w:r w:rsidR="00794177">
              <w:rPr>
                <w:rFonts w:ascii="Century Gothic" w:hAnsi="Century Gothic" w:cstheme="minorHAnsi"/>
                <w:sz w:val="16"/>
                <w:szCs w:val="16"/>
              </w:rPr>
              <w:t>Agency</w:t>
            </w:r>
            <w:r w:rsidRPr="004D59DE">
              <w:rPr>
                <w:rFonts w:ascii="Century Gothic" w:hAnsi="Century Gothic" w:cstheme="minorHAnsi"/>
                <w:sz w:val="16"/>
                <w:szCs w:val="16"/>
              </w:rPr>
              <w:t xml:space="preserve"> twice per year for data collection trainings and/or data presentations</w:t>
            </w:r>
          </w:p>
        </w:tc>
      </w:tr>
      <w:tr w:rsidR="00D6035A" w:rsidRPr="004D59DE" w14:paraId="71122526" w14:textId="77777777" w:rsidTr="00D6035A">
        <w:tc>
          <w:tcPr>
            <w:tcW w:w="2448" w:type="dxa"/>
            <w:shd w:val="clear" w:color="auto" w:fill="D9D9D9" w:themeFill="background1" w:themeFillShade="D9"/>
          </w:tcPr>
          <w:p w14:paraId="011EE8D4" w14:textId="77777777" w:rsidR="00D6035A" w:rsidRPr="004D59DE" w:rsidRDefault="00D6035A" w:rsidP="00AC656D">
            <w:pPr>
              <w:spacing w:before="100" w:after="100"/>
              <w:jc w:val="right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6035A">
              <w:rPr>
                <w:rFonts w:ascii="Century Gothic" w:hAnsi="Century Gothic" w:cstheme="minorHAnsi"/>
                <w:b/>
                <w:sz w:val="20"/>
                <w:szCs w:val="20"/>
              </w:rPr>
              <w:t>Total Hours</w:t>
            </w:r>
          </w:p>
        </w:tc>
        <w:tc>
          <w:tcPr>
            <w:tcW w:w="1656" w:type="dxa"/>
          </w:tcPr>
          <w:p w14:paraId="19D6B807" w14:textId="77777777" w:rsidR="00D6035A" w:rsidRPr="00D6035A" w:rsidRDefault="00D6035A" w:rsidP="00AC656D">
            <w:pPr>
              <w:spacing w:before="100" w:after="100"/>
              <w:jc w:val="right"/>
              <w:rPr>
                <w:rFonts w:ascii="Century Gothic" w:hAnsi="Century Gothic" w:cstheme="minorHAnsi"/>
                <w:sz w:val="20"/>
                <w:szCs w:val="20"/>
              </w:rPr>
            </w:pPr>
            <w:r w:rsidRPr="00D6035A">
              <w:rPr>
                <w:rFonts w:ascii="Century Gothic" w:hAnsi="Century Gothic" w:cstheme="minorHAnsi"/>
                <w:sz w:val="20"/>
                <w:szCs w:val="20"/>
              </w:rPr>
              <w:t>208</w:t>
            </w:r>
          </w:p>
        </w:tc>
        <w:tc>
          <w:tcPr>
            <w:tcW w:w="1656" w:type="dxa"/>
            <w:shd w:val="clear" w:color="auto" w:fill="FCCBB2"/>
          </w:tcPr>
          <w:p w14:paraId="5D5EA20F" w14:textId="77777777" w:rsidR="00D6035A" w:rsidRPr="00D6035A" w:rsidRDefault="00D6035A" w:rsidP="00AC656D">
            <w:pPr>
              <w:spacing w:before="100" w:after="100"/>
              <w:jc w:val="right"/>
              <w:rPr>
                <w:rFonts w:ascii="Century Gothic" w:hAnsi="Century Gothic" w:cstheme="minorHAnsi"/>
                <w:sz w:val="20"/>
                <w:szCs w:val="20"/>
              </w:rPr>
            </w:pPr>
            <w:r w:rsidRPr="00D6035A">
              <w:rPr>
                <w:rFonts w:ascii="Century Gothic" w:hAnsi="Century Gothic" w:cstheme="minorHAnsi"/>
                <w:sz w:val="20"/>
                <w:szCs w:val="20"/>
              </w:rPr>
              <w:t>208</w:t>
            </w:r>
          </w:p>
        </w:tc>
        <w:tc>
          <w:tcPr>
            <w:tcW w:w="1656" w:type="dxa"/>
          </w:tcPr>
          <w:p w14:paraId="127C03AA" w14:textId="77777777" w:rsidR="00D6035A" w:rsidRPr="00D6035A" w:rsidRDefault="00D6035A" w:rsidP="00AC656D">
            <w:pPr>
              <w:spacing w:before="100" w:after="100"/>
              <w:jc w:val="right"/>
              <w:rPr>
                <w:rFonts w:ascii="Century Gothic" w:hAnsi="Century Gothic" w:cstheme="minorHAnsi"/>
                <w:sz w:val="20"/>
                <w:szCs w:val="20"/>
              </w:rPr>
            </w:pPr>
            <w:r w:rsidRPr="00D6035A">
              <w:rPr>
                <w:rFonts w:ascii="Century Gothic" w:hAnsi="Century Gothic" w:cstheme="minorHAnsi"/>
                <w:sz w:val="20"/>
                <w:szCs w:val="20"/>
              </w:rPr>
              <w:t>208</w:t>
            </w:r>
          </w:p>
        </w:tc>
        <w:tc>
          <w:tcPr>
            <w:tcW w:w="1656" w:type="dxa"/>
            <w:shd w:val="clear" w:color="auto" w:fill="FCCBB2"/>
          </w:tcPr>
          <w:p w14:paraId="3AA54343" w14:textId="77777777" w:rsidR="00D6035A" w:rsidRPr="00D6035A" w:rsidRDefault="00D6035A" w:rsidP="00AC656D">
            <w:pPr>
              <w:spacing w:before="100" w:after="100"/>
              <w:jc w:val="right"/>
              <w:rPr>
                <w:rFonts w:ascii="Century Gothic" w:hAnsi="Century Gothic" w:cstheme="minorHAnsi"/>
                <w:sz w:val="20"/>
                <w:szCs w:val="20"/>
              </w:rPr>
            </w:pPr>
            <w:r w:rsidRPr="00D6035A">
              <w:rPr>
                <w:rFonts w:ascii="Century Gothic" w:hAnsi="Century Gothic" w:cstheme="minorHAnsi"/>
                <w:sz w:val="20"/>
                <w:szCs w:val="20"/>
              </w:rPr>
              <w:t>208</w:t>
            </w:r>
          </w:p>
        </w:tc>
      </w:tr>
    </w:tbl>
    <w:p w14:paraId="7B4A5E22" w14:textId="77777777" w:rsidR="00D6035A" w:rsidRDefault="00D6035A">
      <w:pPr>
        <w:spacing w:before="0" w:after="160" w:line="259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br w:type="page"/>
      </w:r>
    </w:p>
    <w:p w14:paraId="6F0A37E2" w14:textId="77777777" w:rsidR="00A656A7" w:rsidRPr="00397006" w:rsidRDefault="00A656A7" w:rsidP="00A656A7">
      <w:pPr>
        <w:rPr>
          <w:rFonts w:ascii="Century Gothic" w:hAnsi="Century Gothic" w:cstheme="minorHAnsi"/>
          <w:b/>
        </w:rPr>
      </w:pPr>
      <w:r w:rsidRPr="00397006">
        <w:rPr>
          <w:rFonts w:ascii="Century Gothic" w:hAnsi="Century Gothic" w:cstheme="minorHAnsi"/>
          <w:b/>
        </w:rPr>
        <w:lastRenderedPageBreak/>
        <w:t>Other:</w:t>
      </w:r>
    </w:p>
    <w:p w14:paraId="760ECAEA" w14:textId="3468D31C" w:rsidR="00674963" w:rsidRPr="00397006" w:rsidRDefault="00D73552" w:rsidP="00E6121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2"/>
          <w:szCs w:val="22"/>
        </w:rPr>
      </w:pPr>
      <w:r w:rsidRPr="00397006">
        <w:rPr>
          <w:rFonts w:ascii="Century Gothic" w:hAnsi="Century Gothic" w:cstheme="minorHAnsi"/>
          <w:sz w:val="22"/>
          <w:szCs w:val="22"/>
        </w:rPr>
        <w:t>Contractor will provide the above services on a fixed fee basis</w:t>
      </w:r>
      <w:r w:rsidR="009C2CA4" w:rsidRPr="00397006">
        <w:rPr>
          <w:rFonts w:ascii="Century Gothic" w:hAnsi="Century Gothic" w:cstheme="minorHAnsi"/>
          <w:sz w:val="22"/>
          <w:szCs w:val="22"/>
        </w:rPr>
        <w:t xml:space="preserve"> based on 208 hours annually</w:t>
      </w:r>
      <w:r w:rsidR="0029796D">
        <w:rPr>
          <w:rFonts w:ascii="Century Gothic" w:hAnsi="Century Gothic" w:cstheme="minorHAnsi"/>
          <w:sz w:val="22"/>
          <w:szCs w:val="22"/>
        </w:rPr>
        <w:t xml:space="preserve"> (</w:t>
      </w:r>
      <w:r w:rsidR="00B747CA">
        <w:rPr>
          <w:rFonts w:ascii="Century Gothic" w:hAnsi="Century Gothic" w:cstheme="minorHAnsi"/>
          <w:sz w:val="22"/>
          <w:szCs w:val="22"/>
        </w:rPr>
        <w:t xml:space="preserve">Fiscal year </w:t>
      </w:r>
      <w:r w:rsidR="0029796D">
        <w:rPr>
          <w:rFonts w:ascii="Century Gothic" w:hAnsi="Century Gothic" w:cstheme="minorHAnsi"/>
          <w:sz w:val="22"/>
          <w:szCs w:val="22"/>
        </w:rPr>
        <w:t>July 1 – June 30)</w:t>
      </w:r>
      <w:r w:rsidRPr="00397006">
        <w:rPr>
          <w:rFonts w:ascii="Century Gothic" w:hAnsi="Century Gothic" w:cstheme="minorHAnsi"/>
          <w:sz w:val="22"/>
          <w:szCs w:val="22"/>
        </w:rPr>
        <w:t xml:space="preserve">.  </w:t>
      </w:r>
      <w:r w:rsidR="00674963" w:rsidRPr="00397006">
        <w:rPr>
          <w:rFonts w:ascii="Century Gothic" w:hAnsi="Century Gothic" w:cstheme="minorHAnsi"/>
          <w:sz w:val="22"/>
          <w:szCs w:val="22"/>
        </w:rPr>
        <w:t xml:space="preserve">Contractor shall invoice </w:t>
      </w:r>
      <w:r w:rsidRPr="00397006">
        <w:rPr>
          <w:rFonts w:ascii="Century Gothic" w:hAnsi="Century Gothic" w:cstheme="minorHAnsi"/>
          <w:sz w:val="22"/>
          <w:szCs w:val="22"/>
        </w:rPr>
        <w:t xml:space="preserve">the </w:t>
      </w:r>
      <w:r w:rsidR="00643EE5">
        <w:rPr>
          <w:rFonts w:ascii="Century Gothic" w:hAnsi="Century Gothic" w:cstheme="minorHAnsi"/>
          <w:sz w:val="22"/>
          <w:szCs w:val="22"/>
        </w:rPr>
        <w:t>Agency</w:t>
      </w:r>
      <w:r w:rsidR="00643EE5" w:rsidRPr="00397006">
        <w:rPr>
          <w:rFonts w:ascii="Century Gothic" w:hAnsi="Century Gothic" w:cstheme="minorHAnsi"/>
          <w:sz w:val="22"/>
          <w:szCs w:val="22"/>
        </w:rPr>
        <w:t xml:space="preserve"> </w:t>
      </w:r>
      <w:r w:rsidR="00B747CA">
        <w:rPr>
          <w:rFonts w:ascii="Century Gothic" w:hAnsi="Century Gothic" w:cstheme="minorHAnsi"/>
          <w:sz w:val="22"/>
          <w:szCs w:val="22"/>
        </w:rPr>
        <w:t xml:space="preserve">for services completed on a </w:t>
      </w:r>
      <w:r w:rsidR="00674963" w:rsidRPr="00397006">
        <w:rPr>
          <w:rFonts w:ascii="Century Gothic" w:hAnsi="Century Gothic" w:cstheme="minorHAnsi"/>
          <w:sz w:val="22"/>
          <w:szCs w:val="22"/>
        </w:rPr>
        <w:t xml:space="preserve">quarterly </w:t>
      </w:r>
      <w:r w:rsidR="00B747CA">
        <w:rPr>
          <w:rFonts w:ascii="Century Gothic" w:hAnsi="Century Gothic" w:cstheme="minorHAnsi"/>
          <w:sz w:val="22"/>
          <w:szCs w:val="22"/>
        </w:rPr>
        <w:t>basis</w:t>
      </w:r>
      <w:r w:rsidR="0029796D">
        <w:rPr>
          <w:rFonts w:ascii="Century Gothic" w:hAnsi="Century Gothic" w:cstheme="minorHAnsi"/>
          <w:sz w:val="22"/>
          <w:szCs w:val="22"/>
        </w:rPr>
        <w:t xml:space="preserve"> </w:t>
      </w:r>
      <w:r w:rsidR="00B747CA">
        <w:rPr>
          <w:rFonts w:ascii="Century Gothic" w:hAnsi="Century Gothic" w:cstheme="minorHAnsi"/>
          <w:sz w:val="22"/>
          <w:szCs w:val="22"/>
        </w:rPr>
        <w:t>(September 30,</w:t>
      </w:r>
      <w:r w:rsidR="0029796D">
        <w:rPr>
          <w:rFonts w:ascii="Century Gothic" w:hAnsi="Century Gothic" w:cstheme="minorHAnsi"/>
          <w:sz w:val="22"/>
          <w:szCs w:val="22"/>
        </w:rPr>
        <w:t xml:space="preserve"> December 31, March 31</w:t>
      </w:r>
      <w:r w:rsidR="00B747CA">
        <w:rPr>
          <w:rFonts w:ascii="Century Gothic" w:hAnsi="Century Gothic" w:cstheme="minorHAnsi"/>
          <w:sz w:val="22"/>
          <w:szCs w:val="22"/>
        </w:rPr>
        <w:t xml:space="preserve">, and June 30) </w:t>
      </w:r>
      <w:r w:rsidRPr="00397006">
        <w:rPr>
          <w:rFonts w:ascii="Century Gothic" w:hAnsi="Century Gothic" w:cstheme="minorHAnsi"/>
          <w:sz w:val="22"/>
          <w:szCs w:val="22"/>
        </w:rPr>
        <w:t xml:space="preserve">to the </w:t>
      </w:r>
      <w:r w:rsidR="008B39E1" w:rsidRPr="00397006">
        <w:rPr>
          <w:rFonts w:ascii="Century Gothic" w:hAnsi="Century Gothic" w:cstheme="minorHAnsi"/>
          <w:sz w:val="22"/>
          <w:szCs w:val="22"/>
        </w:rPr>
        <w:t xml:space="preserve">[Tobacco </w:t>
      </w:r>
      <w:r w:rsidR="006F431F">
        <w:rPr>
          <w:rFonts w:ascii="Century Gothic" w:hAnsi="Century Gothic" w:cstheme="minorHAnsi"/>
          <w:sz w:val="22"/>
          <w:szCs w:val="22"/>
        </w:rPr>
        <w:t xml:space="preserve">Control </w:t>
      </w:r>
      <w:r w:rsidR="008B39E1" w:rsidRPr="00397006">
        <w:rPr>
          <w:rFonts w:ascii="Century Gothic" w:hAnsi="Century Gothic" w:cstheme="minorHAnsi"/>
          <w:sz w:val="22"/>
          <w:szCs w:val="22"/>
        </w:rPr>
        <w:t>Program Name]</w:t>
      </w:r>
      <w:r w:rsidRPr="00397006">
        <w:rPr>
          <w:rFonts w:ascii="Century Gothic" w:hAnsi="Century Gothic" w:cstheme="minorHAnsi"/>
          <w:sz w:val="22"/>
          <w:szCs w:val="22"/>
        </w:rPr>
        <w:t xml:space="preserve"> </w:t>
      </w:r>
      <w:r w:rsidR="006F431F">
        <w:rPr>
          <w:rFonts w:ascii="Century Gothic" w:hAnsi="Century Gothic" w:cstheme="minorHAnsi"/>
          <w:sz w:val="22"/>
          <w:szCs w:val="22"/>
        </w:rPr>
        <w:t>Project Director</w:t>
      </w:r>
      <w:r w:rsidRPr="00397006">
        <w:rPr>
          <w:rFonts w:ascii="Century Gothic" w:hAnsi="Century Gothic" w:cstheme="minorHAnsi"/>
          <w:sz w:val="22"/>
          <w:szCs w:val="22"/>
        </w:rPr>
        <w:t xml:space="preserve">.  The maximum amount payable to Contractor under this four-year contract is </w:t>
      </w:r>
      <w:r w:rsidR="008B39E1" w:rsidRPr="00397006">
        <w:rPr>
          <w:rFonts w:ascii="Century Gothic" w:hAnsi="Century Gothic" w:cstheme="minorHAnsi"/>
          <w:sz w:val="22"/>
          <w:szCs w:val="22"/>
        </w:rPr>
        <w:t>$X</w:t>
      </w:r>
      <w:r w:rsidRPr="00397006">
        <w:rPr>
          <w:rFonts w:ascii="Century Gothic" w:hAnsi="Century Gothic" w:cstheme="minorHAnsi"/>
          <w:sz w:val="22"/>
          <w:szCs w:val="22"/>
        </w:rPr>
        <w:t xml:space="preserve"> per year </w:t>
      </w:r>
      <w:r w:rsidR="00DB42E6" w:rsidRPr="00397006">
        <w:rPr>
          <w:rFonts w:ascii="Century Gothic" w:hAnsi="Century Gothic" w:cstheme="minorHAnsi"/>
          <w:sz w:val="22"/>
          <w:szCs w:val="22"/>
        </w:rPr>
        <w:t>(including $</w:t>
      </w:r>
      <w:r w:rsidR="008B39E1" w:rsidRPr="00397006">
        <w:rPr>
          <w:rFonts w:ascii="Century Gothic" w:hAnsi="Century Gothic" w:cstheme="minorHAnsi"/>
          <w:sz w:val="22"/>
          <w:szCs w:val="22"/>
        </w:rPr>
        <w:t>X</w:t>
      </w:r>
      <w:r w:rsidR="00DB42E6" w:rsidRPr="00397006">
        <w:rPr>
          <w:rFonts w:ascii="Century Gothic" w:hAnsi="Century Gothic" w:cstheme="minorHAnsi"/>
          <w:sz w:val="22"/>
          <w:szCs w:val="22"/>
        </w:rPr>
        <w:t xml:space="preserve"> travel expenses per year) </w:t>
      </w:r>
      <w:r w:rsidRPr="00397006">
        <w:rPr>
          <w:rFonts w:ascii="Century Gothic" w:hAnsi="Century Gothic" w:cstheme="minorHAnsi"/>
          <w:sz w:val="22"/>
          <w:szCs w:val="22"/>
        </w:rPr>
        <w:t>or a total of $</w:t>
      </w:r>
      <w:r w:rsidR="008B39E1" w:rsidRPr="00397006">
        <w:rPr>
          <w:rFonts w:ascii="Century Gothic" w:hAnsi="Century Gothic" w:cstheme="minorHAnsi"/>
          <w:sz w:val="22"/>
          <w:szCs w:val="22"/>
        </w:rPr>
        <w:t>X</w:t>
      </w:r>
      <w:r w:rsidRPr="00397006">
        <w:rPr>
          <w:rFonts w:ascii="Century Gothic" w:hAnsi="Century Gothic" w:cstheme="minorHAnsi"/>
          <w:sz w:val="22"/>
          <w:szCs w:val="22"/>
        </w:rPr>
        <w:t xml:space="preserve"> for the four-year period.  The payment breakdown is as follows: 4 quarterly payments annually of $</w:t>
      </w:r>
      <w:r w:rsidR="008B39E1" w:rsidRPr="00397006">
        <w:rPr>
          <w:rFonts w:ascii="Century Gothic" w:hAnsi="Century Gothic" w:cstheme="minorHAnsi"/>
          <w:sz w:val="22"/>
          <w:szCs w:val="22"/>
        </w:rPr>
        <w:t>X</w:t>
      </w:r>
      <w:r w:rsidRPr="00397006">
        <w:rPr>
          <w:rFonts w:ascii="Century Gothic" w:hAnsi="Century Gothic" w:cstheme="minorHAnsi"/>
          <w:sz w:val="22"/>
          <w:szCs w:val="22"/>
        </w:rPr>
        <w:t xml:space="preserve"> each.</w:t>
      </w:r>
    </w:p>
    <w:p w14:paraId="308B6FEA" w14:textId="77777777" w:rsidR="007927D6" w:rsidRPr="00397006" w:rsidRDefault="007927D6" w:rsidP="00E6121B">
      <w:pPr>
        <w:pStyle w:val="ListParagraph"/>
        <w:numPr>
          <w:ilvl w:val="0"/>
          <w:numId w:val="1"/>
        </w:numPr>
        <w:spacing w:before="120" w:after="120"/>
        <w:rPr>
          <w:rFonts w:ascii="Century Gothic" w:hAnsi="Century Gothic" w:cstheme="minorHAnsi"/>
          <w:sz w:val="22"/>
          <w:szCs w:val="22"/>
        </w:rPr>
      </w:pPr>
      <w:r w:rsidRPr="00397006">
        <w:rPr>
          <w:rFonts w:ascii="Century Gothic" w:hAnsi="Century Gothic" w:cstheme="minorHAnsi"/>
          <w:sz w:val="22"/>
          <w:szCs w:val="22"/>
        </w:rPr>
        <w:t xml:space="preserve">Contractor services shall be rendered primarily at Contractor’s office and via telecommuting. </w:t>
      </w:r>
    </w:p>
    <w:p w14:paraId="7051360D" w14:textId="77777777" w:rsidR="007927D6" w:rsidRPr="00397006" w:rsidRDefault="007927D6" w:rsidP="007927D6">
      <w:pPr>
        <w:tabs>
          <w:tab w:val="left" w:pos="0"/>
        </w:tabs>
        <w:suppressAutoHyphens/>
        <w:rPr>
          <w:rFonts w:ascii="Century Gothic" w:hAnsi="Century Gothic" w:cstheme="minorHAnsi"/>
        </w:rPr>
      </w:pPr>
    </w:p>
    <w:p w14:paraId="76938CF3" w14:textId="3C569CF5" w:rsidR="007927D6" w:rsidRPr="00397006" w:rsidRDefault="00794177" w:rsidP="007927D6">
      <w:pPr>
        <w:tabs>
          <w:tab w:val="left" w:pos="0"/>
        </w:tabs>
        <w:suppressAutoHyphens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Agency</w:t>
      </w:r>
      <w:r w:rsidR="007927D6" w:rsidRPr="00397006">
        <w:rPr>
          <w:rFonts w:ascii="Century Gothic" w:hAnsi="Century Gothic" w:cstheme="minorHAnsi"/>
          <w:b/>
        </w:rPr>
        <w:t xml:space="preserve"> Responsibilities:</w:t>
      </w:r>
    </w:p>
    <w:p w14:paraId="15934CC7" w14:textId="2B799A67" w:rsidR="007927D6" w:rsidRPr="00397006" w:rsidRDefault="00794177" w:rsidP="00E6121B">
      <w:pPr>
        <w:widowControl w:val="0"/>
        <w:numPr>
          <w:ilvl w:val="0"/>
          <w:numId w:val="3"/>
        </w:numPr>
        <w:spacing w:before="0" w:after="0"/>
        <w:ind w:hanging="360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</w:rPr>
        <w:t xml:space="preserve">Agency </w:t>
      </w:r>
      <w:r w:rsidR="007927D6" w:rsidRPr="00397006">
        <w:rPr>
          <w:rFonts w:ascii="Century Gothic" w:hAnsi="Century Gothic" w:cstheme="minorHAnsi"/>
        </w:rPr>
        <w:t xml:space="preserve">will be responsible for internal scheduling, reasonable access to key personnel, and reasonable access to past and current documentation that will aid the completion of evaluation activities.  </w:t>
      </w:r>
      <w:r>
        <w:rPr>
          <w:rFonts w:ascii="Century Gothic" w:hAnsi="Century Gothic" w:cstheme="minorHAnsi"/>
        </w:rPr>
        <w:t>Agency</w:t>
      </w:r>
      <w:r w:rsidR="007927D6" w:rsidRPr="00397006">
        <w:rPr>
          <w:rFonts w:ascii="Century Gothic" w:hAnsi="Century Gothic" w:cstheme="minorHAnsi"/>
        </w:rPr>
        <w:t xml:space="preserve"> will add Contractor as an “Applicant” in OTIS to allow the Contractor access to the </w:t>
      </w:r>
      <w:r>
        <w:rPr>
          <w:rFonts w:ascii="Century Gothic" w:hAnsi="Century Gothic" w:cstheme="minorHAnsi"/>
        </w:rPr>
        <w:t xml:space="preserve">Agency’s </w:t>
      </w:r>
      <w:r w:rsidR="007927D6" w:rsidRPr="00397006">
        <w:rPr>
          <w:rFonts w:ascii="Century Gothic" w:hAnsi="Century Gothic" w:cstheme="minorHAnsi"/>
        </w:rPr>
        <w:t>2017-20</w:t>
      </w:r>
      <w:r w:rsidR="004A0442" w:rsidRPr="00397006">
        <w:rPr>
          <w:rFonts w:ascii="Century Gothic" w:hAnsi="Century Gothic" w:cstheme="minorHAnsi"/>
        </w:rPr>
        <w:t>21</w:t>
      </w:r>
      <w:r w:rsidR="007927D6" w:rsidRPr="00397006">
        <w:rPr>
          <w:rFonts w:ascii="Century Gothic" w:hAnsi="Century Gothic" w:cstheme="minorHAnsi"/>
        </w:rPr>
        <w:t xml:space="preserve"> </w:t>
      </w:r>
      <w:r w:rsidR="008B39E1" w:rsidRPr="00397006">
        <w:rPr>
          <w:rFonts w:ascii="Century Gothic" w:hAnsi="Century Gothic" w:cstheme="minorHAnsi"/>
        </w:rPr>
        <w:t>plan period</w:t>
      </w:r>
      <w:r w:rsidR="007927D6" w:rsidRPr="00397006">
        <w:rPr>
          <w:rFonts w:ascii="Century Gothic" w:hAnsi="Century Gothic" w:cstheme="minorHAnsi"/>
          <w:color w:val="000000"/>
        </w:rPr>
        <w:t>.</w:t>
      </w:r>
    </w:p>
    <w:p w14:paraId="4EF52391" w14:textId="6DD95A3E" w:rsidR="007927D6" w:rsidRPr="00397006" w:rsidRDefault="00794177" w:rsidP="00E6121B">
      <w:pPr>
        <w:numPr>
          <w:ilvl w:val="0"/>
          <w:numId w:val="3"/>
        </w:numPr>
        <w:ind w:hanging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Agency</w:t>
      </w:r>
      <w:r w:rsidR="007927D6" w:rsidRPr="00397006">
        <w:rPr>
          <w:rFonts w:ascii="Century Gothic" w:hAnsi="Century Gothic" w:cstheme="minorHAnsi"/>
        </w:rPr>
        <w:t xml:space="preserve"> will reimburse Contractor approximately </w:t>
      </w:r>
      <w:r w:rsidR="00080853" w:rsidRPr="00397006">
        <w:rPr>
          <w:rFonts w:ascii="Century Gothic" w:hAnsi="Century Gothic" w:cstheme="minorHAnsi"/>
        </w:rPr>
        <w:t>__</w:t>
      </w:r>
      <w:r w:rsidR="007927D6" w:rsidRPr="00397006">
        <w:rPr>
          <w:rFonts w:ascii="Century Gothic" w:hAnsi="Century Gothic" w:cstheme="minorHAnsi"/>
        </w:rPr>
        <w:t xml:space="preserve"> days after invoice is received, reviewed and approved by </w:t>
      </w:r>
      <w:r w:rsidR="00643EE5">
        <w:rPr>
          <w:rFonts w:ascii="Century Gothic" w:hAnsi="Century Gothic" w:cstheme="minorHAnsi"/>
        </w:rPr>
        <w:t>tobacco program’s</w:t>
      </w:r>
      <w:r w:rsidR="00643EE5" w:rsidRPr="00397006">
        <w:rPr>
          <w:rFonts w:ascii="Century Gothic" w:hAnsi="Century Gothic" w:cstheme="minorHAnsi"/>
        </w:rPr>
        <w:t xml:space="preserve"> </w:t>
      </w:r>
      <w:r w:rsidR="007927D6" w:rsidRPr="00397006">
        <w:rPr>
          <w:rFonts w:ascii="Century Gothic" w:hAnsi="Century Gothic" w:cstheme="minorHAnsi"/>
        </w:rPr>
        <w:t xml:space="preserve">Project </w:t>
      </w:r>
      <w:r w:rsidR="0053217B" w:rsidRPr="00397006">
        <w:rPr>
          <w:rFonts w:ascii="Century Gothic" w:hAnsi="Century Gothic" w:cstheme="minorHAnsi"/>
        </w:rPr>
        <w:t>Director</w:t>
      </w:r>
      <w:r w:rsidR="007927D6" w:rsidRPr="00397006">
        <w:rPr>
          <w:rFonts w:ascii="Century Gothic" w:hAnsi="Century Gothic" w:cstheme="minorHAnsi"/>
        </w:rPr>
        <w:t xml:space="preserve">. </w:t>
      </w:r>
    </w:p>
    <w:p w14:paraId="2D625123" w14:textId="4444F9A2" w:rsidR="007927D6" w:rsidRPr="00397006" w:rsidRDefault="00AC656D" w:rsidP="00AC656D">
      <w:pPr>
        <w:widowControl w:val="0"/>
        <w:tabs>
          <w:tab w:val="left" w:pos="3645"/>
        </w:tabs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ab/>
      </w:r>
    </w:p>
    <w:p w14:paraId="2FCF6EED" w14:textId="77777777" w:rsidR="007927D6" w:rsidRPr="00397006" w:rsidRDefault="007927D6" w:rsidP="007927D6">
      <w:pPr>
        <w:widowControl w:val="0"/>
        <w:rPr>
          <w:rFonts w:ascii="Century Gothic" w:hAnsi="Century Gothic" w:cstheme="minorHAnsi"/>
          <w:b/>
          <w:color w:val="000000"/>
        </w:rPr>
      </w:pPr>
      <w:r w:rsidRPr="00397006">
        <w:rPr>
          <w:rFonts w:ascii="Century Gothic" w:hAnsi="Century Gothic" w:cstheme="minorHAnsi"/>
          <w:b/>
          <w:color w:val="000000"/>
        </w:rPr>
        <w:t>Joint Responsibilities:</w:t>
      </w:r>
    </w:p>
    <w:p w14:paraId="43DF5150" w14:textId="681E8E92" w:rsidR="00405DF1" w:rsidRPr="00397006" w:rsidRDefault="007927D6" w:rsidP="00E6121B">
      <w:pPr>
        <w:widowControl w:val="0"/>
        <w:numPr>
          <w:ilvl w:val="0"/>
          <w:numId w:val="4"/>
        </w:numPr>
        <w:spacing w:before="0" w:after="0"/>
        <w:ind w:hanging="360"/>
        <w:rPr>
          <w:rFonts w:ascii="Century Gothic" w:hAnsi="Century Gothic" w:cstheme="minorHAnsi"/>
          <w:color w:val="000000"/>
        </w:rPr>
      </w:pPr>
      <w:r w:rsidRPr="00397006">
        <w:rPr>
          <w:rFonts w:ascii="Century Gothic" w:hAnsi="Century Gothic" w:cstheme="minorHAnsi"/>
          <w:color w:val="000000"/>
        </w:rPr>
        <w:t xml:space="preserve">Both Contractor and </w:t>
      </w:r>
      <w:r w:rsidR="00794177">
        <w:rPr>
          <w:rFonts w:ascii="Century Gothic" w:hAnsi="Century Gothic" w:cstheme="minorHAnsi"/>
          <w:color w:val="000000"/>
        </w:rPr>
        <w:t>Agency</w:t>
      </w:r>
      <w:r w:rsidRPr="00397006">
        <w:rPr>
          <w:rFonts w:ascii="Century Gothic" w:hAnsi="Century Gothic" w:cstheme="minorHAnsi"/>
          <w:color w:val="000000"/>
        </w:rPr>
        <w:t xml:space="preserve"> will be responsible to immediately notify each other of any intelligence or findings that will impact the success of the project so that rapid action can be considered</w:t>
      </w:r>
      <w:bookmarkStart w:id="0" w:name="RANGE!A1:G27"/>
      <w:bookmarkEnd w:id="0"/>
      <w:r w:rsidRPr="00397006">
        <w:rPr>
          <w:rFonts w:ascii="Century Gothic" w:hAnsi="Century Gothic" w:cstheme="minorHAnsi"/>
          <w:color w:val="000000"/>
        </w:rPr>
        <w:t>.</w:t>
      </w:r>
    </w:p>
    <w:p w14:paraId="693F5462" w14:textId="77777777" w:rsidR="008B39E1" w:rsidRDefault="008B39E1" w:rsidP="008B39E1">
      <w:pPr>
        <w:widowControl w:val="0"/>
        <w:spacing w:before="0" w:after="0"/>
        <w:rPr>
          <w:rFonts w:ascii="Century Gothic" w:hAnsi="Century Gothic" w:cstheme="minorHAnsi"/>
          <w:color w:val="000000"/>
        </w:rPr>
      </w:pPr>
    </w:p>
    <w:p w14:paraId="3D952A23" w14:textId="77777777" w:rsidR="00D6035A" w:rsidRPr="00397006" w:rsidRDefault="00D6035A" w:rsidP="008B39E1">
      <w:pPr>
        <w:widowControl w:val="0"/>
        <w:spacing w:before="0" w:after="0"/>
        <w:rPr>
          <w:rFonts w:ascii="Century Gothic" w:hAnsi="Century Gothic" w:cstheme="minorHAnsi"/>
          <w:color w:val="000000"/>
        </w:rPr>
      </w:pPr>
    </w:p>
    <w:p w14:paraId="1E7E6831" w14:textId="77777777" w:rsidR="008B39E1" w:rsidRPr="004D59DE" w:rsidRDefault="008B39E1" w:rsidP="008B39E1">
      <w:pPr>
        <w:widowControl w:val="0"/>
        <w:spacing w:before="0" w:after="0"/>
        <w:jc w:val="center"/>
        <w:rPr>
          <w:rFonts w:ascii="Century Gothic" w:hAnsi="Century Gothic" w:cstheme="minorHAnsi"/>
          <w:b/>
          <w:color w:val="E55209"/>
          <w:sz w:val="24"/>
          <w:szCs w:val="24"/>
        </w:rPr>
      </w:pPr>
      <w:r w:rsidRPr="004D59DE">
        <w:rPr>
          <w:rFonts w:ascii="Century Gothic" w:hAnsi="Century Gothic" w:cstheme="minorHAnsi"/>
          <w:b/>
          <w:color w:val="E55209"/>
          <w:sz w:val="24"/>
          <w:szCs w:val="24"/>
        </w:rPr>
        <w:t>- End Sample Contract -</w:t>
      </w:r>
    </w:p>
    <w:p w14:paraId="726FF3B8" w14:textId="77777777" w:rsidR="008B39E1" w:rsidRPr="004D59DE" w:rsidRDefault="008B39E1" w:rsidP="008B39E1">
      <w:pPr>
        <w:widowControl w:val="0"/>
        <w:spacing w:before="0" w:after="0"/>
        <w:rPr>
          <w:rFonts w:ascii="Century Gothic" w:hAnsi="Century Gothic" w:cstheme="minorHAnsi"/>
          <w:b/>
          <w:color w:val="000000"/>
          <w:sz w:val="24"/>
          <w:szCs w:val="24"/>
        </w:rPr>
      </w:pPr>
    </w:p>
    <w:p w14:paraId="4BE5C477" w14:textId="77777777" w:rsidR="008B39E1" w:rsidRDefault="008B39E1" w:rsidP="008B39E1">
      <w:pPr>
        <w:widowControl w:val="0"/>
        <w:spacing w:before="0" w:after="0"/>
        <w:rPr>
          <w:rFonts w:ascii="Century Gothic" w:hAnsi="Century Gothic" w:cstheme="minorHAnsi"/>
          <w:b/>
          <w:sz w:val="24"/>
          <w:szCs w:val="24"/>
        </w:rPr>
      </w:pPr>
    </w:p>
    <w:p w14:paraId="48AEF55A" w14:textId="77777777" w:rsidR="00D6035A" w:rsidRDefault="00D6035A" w:rsidP="008B39E1">
      <w:pPr>
        <w:widowControl w:val="0"/>
        <w:spacing w:before="0" w:after="0"/>
        <w:rPr>
          <w:rFonts w:ascii="Century Gothic" w:hAnsi="Century Gothic" w:cstheme="minorHAnsi"/>
          <w:b/>
          <w:sz w:val="24"/>
          <w:szCs w:val="24"/>
        </w:rPr>
      </w:pPr>
    </w:p>
    <w:p w14:paraId="60EA2B0D" w14:textId="2934ACC3" w:rsidR="00FE66DC" w:rsidRDefault="00FE66DC" w:rsidP="008B39E1">
      <w:pPr>
        <w:widowControl w:val="0"/>
        <w:spacing w:before="0" w:after="0"/>
        <w:rPr>
          <w:rFonts w:ascii="Century Gothic" w:hAnsi="Century Gothic" w:cstheme="minorHAnsi"/>
          <w:b/>
          <w:sz w:val="24"/>
          <w:szCs w:val="24"/>
        </w:rPr>
      </w:pPr>
    </w:p>
    <w:p w14:paraId="64D483E3" w14:textId="4F68C09B" w:rsidR="00427A23" w:rsidRDefault="00427A23" w:rsidP="008B39E1">
      <w:pPr>
        <w:widowControl w:val="0"/>
        <w:spacing w:before="0" w:after="0"/>
        <w:rPr>
          <w:rFonts w:ascii="Century Gothic" w:hAnsi="Century Gothic" w:cstheme="minorHAnsi"/>
          <w:b/>
          <w:sz w:val="24"/>
          <w:szCs w:val="24"/>
        </w:rPr>
      </w:pPr>
    </w:p>
    <w:p w14:paraId="00B1E430" w14:textId="2CBA42C7" w:rsidR="00427A23" w:rsidRDefault="00427A23" w:rsidP="008B39E1">
      <w:pPr>
        <w:widowControl w:val="0"/>
        <w:spacing w:before="0" w:after="0"/>
        <w:rPr>
          <w:rFonts w:ascii="Century Gothic" w:hAnsi="Century Gothic" w:cstheme="minorHAnsi"/>
          <w:b/>
          <w:sz w:val="24"/>
          <w:szCs w:val="24"/>
        </w:rPr>
      </w:pPr>
    </w:p>
    <w:p w14:paraId="08549B6A" w14:textId="69D7D159" w:rsidR="00427A23" w:rsidRDefault="00427A23" w:rsidP="008B39E1">
      <w:pPr>
        <w:widowControl w:val="0"/>
        <w:spacing w:before="0" w:after="0"/>
        <w:rPr>
          <w:rFonts w:ascii="Century Gothic" w:hAnsi="Century Gothic" w:cstheme="minorHAnsi"/>
          <w:b/>
          <w:sz w:val="24"/>
          <w:szCs w:val="24"/>
        </w:rPr>
      </w:pPr>
    </w:p>
    <w:p w14:paraId="12826D5D" w14:textId="77777777" w:rsidR="00FE66DC" w:rsidRDefault="00FE66DC" w:rsidP="008B39E1">
      <w:pPr>
        <w:widowControl w:val="0"/>
        <w:spacing w:before="0" w:after="0"/>
        <w:rPr>
          <w:rFonts w:ascii="Century Gothic" w:hAnsi="Century Gothic" w:cstheme="minorHAnsi"/>
          <w:b/>
          <w:sz w:val="24"/>
          <w:szCs w:val="24"/>
        </w:rPr>
      </w:pPr>
    </w:p>
    <w:p w14:paraId="30AA41E2" w14:textId="77777777" w:rsidR="00FE66DC" w:rsidRDefault="00FE66DC" w:rsidP="00427A23">
      <w:pPr>
        <w:widowControl w:val="0"/>
        <w:spacing w:before="0" w:after="0"/>
        <w:jc w:val="center"/>
        <w:rPr>
          <w:rFonts w:ascii="Century Gothic" w:hAnsi="Century Gothic" w:cstheme="minorHAnsi"/>
          <w:b/>
          <w:sz w:val="24"/>
          <w:szCs w:val="24"/>
        </w:rPr>
      </w:pPr>
      <w:bookmarkStart w:id="1" w:name="_GoBack"/>
      <w:bookmarkEnd w:id="1"/>
    </w:p>
    <w:p w14:paraId="0EAE3E51" w14:textId="77777777" w:rsidR="00FE66DC" w:rsidRDefault="00FE66DC" w:rsidP="008B39E1">
      <w:pPr>
        <w:widowControl w:val="0"/>
        <w:spacing w:before="0" w:after="0"/>
        <w:rPr>
          <w:rFonts w:ascii="Century Gothic" w:hAnsi="Century Gothic" w:cstheme="minorHAnsi"/>
          <w:b/>
          <w:sz w:val="24"/>
          <w:szCs w:val="24"/>
        </w:rPr>
      </w:pPr>
    </w:p>
    <w:p w14:paraId="0AAB9A43" w14:textId="77777777" w:rsidR="00427A23" w:rsidRDefault="00427A23" w:rsidP="00427A23">
      <w:pPr>
        <w:pStyle w:val="Footer"/>
        <w:rPr>
          <w:color w:val="808080"/>
          <w:sz w:val="20"/>
          <w:szCs w:val="20"/>
        </w:rPr>
      </w:pPr>
    </w:p>
    <w:p w14:paraId="7449A4A6" w14:textId="77777777" w:rsidR="00427A23" w:rsidRDefault="00427A23" w:rsidP="00427A23">
      <w:pPr>
        <w:pStyle w:val="Footer"/>
        <w:rPr>
          <w:color w:val="808080"/>
          <w:sz w:val="20"/>
          <w:szCs w:val="20"/>
        </w:rPr>
      </w:pPr>
      <w:r w:rsidRPr="00273E1A">
        <w:rPr>
          <w:noProof/>
        </w:rPr>
        <w:drawing>
          <wp:anchor distT="0" distB="0" distL="114300" distR="114300" simplePos="0" relativeHeight="251659264" behindDoc="1" locked="0" layoutInCell="1" allowOverlap="1" wp14:anchorId="7BB2FF58" wp14:editId="1CFAC72F">
            <wp:simplePos x="0" y="0"/>
            <wp:positionH relativeFrom="margin">
              <wp:posOffset>5753100</wp:posOffset>
            </wp:positionH>
            <wp:positionV relativeFrom="paragraph">
              <wp:posOffset>308610</wp:posOffset>
            </wp:positionV>
            <wp:extent cx="716280" cy="32766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  <w:sz w:val="20"/>
          <w:szCs w:val="20"/>
        </w:rPr>
        <w:br/>
      </w:r>
    </w:p>
    <w:tbl>
      <w:tblPr>
        <w:tblW w:w="10200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9180"/>
        <w:gridCol w:w="236"/>
        <w:gridCol w:w="263"/>
        <w:gridCol w:w="263"/>
        <w:gridCol w:w="258"/>
      </w:tblGrid>
      <w:tr w:rsidR="00427A23" w14:paraId="094A1FCF" w14:textId="77777777" w:rsidTr="003B0C61">
        <w:tc>
          <w:tcPr>
            <w:tcW w:w="9180" w:type="dxa"/>
            <w:shd w:val="clear" w:color="auto" w:fill="auto"/>
            <w:vAlign w:val="bottom"/>
          </w:tcPr>
          <w:p w14:paraId="483E69DE" w14:textId="77777777" w:rsidR="00427A23" w:rsidRPr="000E4068" w:rsidRDefault="00427A23" w:rsidP="003B0C61">
            <w:pPr>
              <w:pStyle w:val="Footer"/>
              <w:rPr>
                <w:color w:val="808080"/>
                <w:sz w:val="20"/>
                <w:szCs w:val="20"/>
              </w:rPr>
            </w:pPr>
            <w:r w:rsidRPr="000E4068">
              <w:rPr>
                <w:color w:val="808080"/>
                <w:sz w:val="20"/>
                <w:szCs w:val="20"/>
              </w:rPr>
              <w:t>Developed by the Tobacco Control Evaluation Center, a project of the University of California Davis.</w:t>
            </w:r>
          </w:p>
          <w:p w14:paraId="1D704357" w14:textId="77777777" w:rsidR="00427A23" w:rsidRPr="003E4213" w:rsidRDefault="00427A23" w:rsidP="003B0C61">
            <w:pPr>
              <w:pStyle w:val="Footer"/>
              <w:rPr>
                <w:color w:val="808080"/>
                <w:sz w:val="20"/>
                <w:szCs w:val="20"/>
              </w:rPr>
            </w:pPr>
            <w:r w:rsidRPr="000E4068">
              <w:rPr>
                <w:color w:val="808080"/>
                <w:sz w:val="20"/>
                <w:szCs w:val="20"/>
              </w:rPr>
              <w:t>© 2018. California Department of Public Health. Funded under agreement #17-10047.</w:t>
            </w:r>
          </w:p>
        </w:tc>
        <w:tc>
          <w:tcPr>
            <w:tcW w:w="236" w:type="dxa"/>
          </w:tcPr>
          <w:p w14:paraId="76D42456" w14:textId="77777777" w:rsidR="00427A23" w:rsidRPr="003E4213" w:rsidRDefault="00427A23" w:rsidP="003B0C61">
            <w:pPr>
              <w:pStyle w:val="Footer"/>
              <w:ind w:right="615"/>
              <w:rPr>
                <w:color w:val="808080"/>
              </w:rPr>
            </w:pPr>
          </w:p>
        </w:tc>
        <w:tc>
          <w:tcPr>
            <w:tcW w:w="263" w:type="dxa"/>
          </w:tcPr>
          <w:p w14:paraId="4382FF3D" w14:textId="77777777" w:rsidR="00427A23" w:rsidRPr="003E4213" w:rsidRDefault="00427A23" w:rsidP="003B0C61">
            <w:pPr>
              <w:pStyle w:val="Footer"/>
              <w:ind w:left="-2835" w:right="2060"/>
              <w:rPr>
                <w:color w:val="808080"/>
              </w:rPr>
            </w:pPr>
          </w:p>
        </w:tc>
        <w:tc>
          <w:tcPr>
            <w:tcW w:w="263" w:type="dxa"/>
            <w:shd w:val="clear" w:color="auto" w:fill="auto"/>
          </w:tcPr>
          <w:p w14:paraId="138694B7" w14:textId="77777777" w:rsidR="00427A23" w:rsidRPr="003E4213" w:rsidRDefault="00427A23" w:rsidP="003B0C61">
            <w:pPr>
              <w:pStyle w:val="Footer"/>
              <w:rPr>
                <w:color w:val="808080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2D03E3E2" w14:textId="77777777" w:rsidR="00427A23" w:rsidRPr="003E4213" w:rsidRDefault="00427A23" w:rsidP="003B0C61">
            <w:pPr>
              <w:pStyle w:val="Footer"/>
              <w:jc w:val="right"/>
              <w:rPr>
                <w:color w:val="808080"/>
              </w:rPr>
            </w:pPr>
          </w:p>
        </w:tc>
      </w:tr>
    </w:tbl>
    <w:p w14:paraId="07902C81" w14:textId="1BBD3272" w:rsidR="008B39E1" w:rsidRPr="00397006" w:rsidRDefault="008B39E1" w:rsidP="00427A23">
      <w:pPr>
        <w:widowControl w:val="0"/>
        <w:spacing w:before="0" w:after="0"/>
        <w:rPr>
          <w:rFonts w:ascii="Century Gothic" w:hAnsi="Century Gothic"/>
        </w:rPr>
      </w:pPr>
    </w:p>
    <w:sectPr w:rsidR="008B39E1" w:rsidRPr="00397006" w:rsidSect="00C119C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BA2A8" w14:textId="77777777" w:rsidR="007C68F2" w:rsidRDefault="007C68F2" w:rsidP="008B39E1">
      <w:pPr>
        <w:spacing w:before="0" w:after="0"/>
      </w:pPr>
      <w:r>
        <w:separator/>
      </w:r>
    </w:p>
  </w:endnote>
  <w:endnote w:type="continuationSeparator" w:id="0">
    <w:p w14:paraId="33CB8B27" w14:textId="77777777" w:rsidR="007C68F2" w:rsidRDefault="007C68F2" w:rsidP="008B39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644F7" w14:textId="77777777" w:rsidR="007C68F2" w:rsidRDefault="007C68F2" w:rsidP="008B39E1">
      <w:pPr>
        <w:spacing w:before="0" w:after="0"/>
      </w:pPr>
      <w:r>
        <w:separator/>
      </w:r>
    </w:p>
  </w:footnote>
  <w:footnote w:type="continuationSeparator" w:id="0">
    <w:p w14:paraId="0A84F604" w14:textId="77777777" w:rsidR="007C68F2" w:rsidRDefault="007C68F2" w:rsidP="008B39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E55209"/>
      </w:rPr>
      <w:id w:val="-483237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341E8" w14:textId="4B4FB385" w:rsidR="00C119C7" w:rsidRPr="00C119C7" w:rsidRDefault="00C119C7">
        <w:pPr>
          <w:pStyle w:val="Header"/>
          <w:jc w:val="right"/>
          <w:rPr>
            <w:color w:val="E55209"/>
          </w:rPr>
        </w:pPr>
        <w:r w:rsidRPr="00C119C7">
          <w:rPr>
            <w:color w:val="E55209"/>
          </w:rPr>
          <w:fldChar w:fldCharType="begin"/>
        </w:r>
        <w:r w:rsidRPr="00C119C7">
          <w:rPr>
            <w:color w:val="E55209"/>
          </w:rPr>
          <w:instrText xml:space="preserve"> PAGE   \* MERGEFORMAT </w:instrText>
        </w:r>
        <w:r w:rsidRPr="00C119C7">
          <w:rPr>
            <w:color w:val="E55209"/>
          </w:rPr>
          <w:fldChar w:fldCharType="separate"/>
        </w:r>
        <w:r w:rsidR="00427A23">
          <w:rPr>
            <w:noProof/>
            <w:color w:val="E55209"/>
          </w:rPr>
          <w:t>5</w:t>
        </w:r>
        <w:r w:rsidRPr="00C119C7">
          <w:rPr>
            <w:noProof/>
            <w:color w:val="E55209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842919"/>
      <w:docPartObj>
        <w:docPartGallery w:val="Watermarks"/>
        <w:docPartUnique/>
      </w:docPartObj>
    </w:sdtPr>
    <w:sdtEndPr/>
    <w:sdtContent>
      <w:p w14:paraId="099336DC" w14:textId="4A8EC1E7" w:rsidR="00CE651B" w:rsidRDefault="00427A23">
        <w:pPr>
          <w:pStyle w:val="Header"/>
        </w:pPr>
        <w:r>
          <w:rPr>
            <w:noProof/>
            <w:lang w:eastAsia="zh-TW"/>
          </w:rPr>
          <w:pict w14:anchorId="414A31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3AE"/>
    <w:multiLevelType w:val="hybridMultilevel"/>
    <w:tmpl w:val="DC72A424"/>
    <w:lvl w:ilvl="0" w:tplc="54BC0F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A3C"/>
    <w:multiLevelType w:val="hybridMultilevel"/>
    <w:tmpl w:val="7632EE50"/>
    <w:lvl w:ilvl="0" w:tplc="14BCEAC2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D0BC0"/>
    <w:multiLevelType w:val="hybridMultilevel"/>
    <w:tmpl w:val="5D24AC7A"/>
    <w:lvl w:ilvl="0" w:tplc="DE58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A2A"/>
    <w:multiLevelType w:val="hybridMultilevel"/>
    <w:tmpl w:val="A47A4AB2"/>
    <w:lvl w:ilvl="0" w:tplc="14BCEAC2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97CE3"/>
    <w:multiLevelType w:val="hybridMultilevel"/>
    <w:tmpl w:val="BCBCEDD0"/>
    <w:lvl w:ilvl="0" w:tplc="32FAEF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1"/>
        <w:w w:val="94"/>
        <w:sz w:val="16"/>
        <w:szCs w:val="24"/>
        <w:u w:color="003399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5F2E"/>
    <w:multiLevelType w:val="hybridMultilevel"/>
    <w:tmpl w:val="7AEE98AC"/>
    <w:lvl w:ilvl="0" w:tplc="14BCEAC2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366DEB"/>
    <w:multiLevelType w:val="hybridMultilevel"/>
    <w:tmpl w:val="6450C2E2"/>
    <w:lvl w:ilvl="0" w:tplc="4EAA1E04">
      <w:start w:val="1"/>
      <w:numFmt w:val="decimal"/>
      <w:lvlText w:val="%1."/>
      <w:lvlJc w:val="left"/>
      <w:pPr>
        <w:ind w:left="720" w:hanging="360"/>
      </w:pPr>
      <w:rPr>
        <w:rFonts w:ascii="Calibi" w:hAnsi="Calibi" w:hint="default"/>
        <w:b w:val="0"/>
        <w:i w:val="0"/>
        <w:spacing w:val="1"/>
        <w:w w:val="94"/>
        <w:sz w:val="22"/>
        <w:szCs w:val="24"/>
        <w:u w:color="00339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C3545"/>
    <w:multiLevelType w:val="hybridMultilevel"/>
    <w:tmpl w:val="61C08E04"/>
    <w:lvl w:ilvl="0" w:tplc="14BCEAC2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1F"/>
    <w:rsid w:val="0000746A"/>
    <w:rsid w:val="00010F77"/>
    <w:rsid w:val="00080853"/>
    <w:rsid w:val="001061E3"/>
    <w:rsid w:val="001141F6"/>
    <w:rsid w:val="00163096"/>
    <w:rsid w:val="00287D62"/>
    <w:rsid w:val="0029292E"/>
    <w:rsid w:val="0029796D"/>
    <w:rsid w:val="002C081C"/>
    <w:rsid w:val="002C3D36"/>
    <w:rsid w:val="002C6A8F"/>
    <w:rsid w:val="002D1CC5"/>
    <w:rsid w:val="00326343"/>
    <w:rsid w:val="003479C8"/>
    <w:rsid w:val="00361915"/>
    <w:rsid w:val="003900FB"/>
    <w:rsid w:val="00397006"/>
    <w:rsid w:val="003B68DF"/>
    <w:rsid w:val="003C62E6"/>
    <w:rsid w:val="00405DF1"/>
    <w:rsid w:val="0041388F"/>
    <w:rsid w:val="00427A23"/>
    <w:rsid w:val="004472BC"/>
    <w:rsid w:val="00447569"/>
    <w:rsid w:val="00454491"/>
    <w:rsid w:val="004A0442"/>
    <w:rsid w:val="004D28FA"/>
    <w:rsid w:val="004D34D7"/>
    <w:rsid w:val="004D59DE"/>
    <w:rsid w:val="0053217B"/>
    <w:rsid w:val="00581225"/>
    <w:rsid w:val="005905A7"/>
    <w:rsid w:val="005977B1"/>
    <w:rsid w:val="005D7A5F"/>
    <w:rsid w:val="005E7FED"/>
    <w:rsid w:val="00643EE5"/>
    <w:rsid w:val="006508E0"/>
    <w:rsid w:val="006531B2"/>
    <w:rsid w:val="006710B0"/>
    <w:rsid w:val="00674963"/>
    <w:rsid w:val="0068501A"/>
    <w:rsid w:val="006A7F05"/>
    <w:rsid w:val="006B5168"/>
    <w:rsid w:val="006B558C"/>
    <w:rsid w:val="006C1FFF"/>
    <w:rsid w:val="006F431F"/>
    <w:rsid w:val="006F79FA"/>
    <w:rsid w:val="00711D16"/>
    <w:rsid w:val="0072041A"/>
    <w:rsid w:val="00724338"/>
    <w:rsid w:val="007552B7"/>
    <w:rsid w:val="00782710"/>
    <w:rsid w:val="007927D6"/>
    <w:rsid w:val="00794177"/>
    <w:rsid w:val="007C3387"/>
    <w:rsid w:val="007C68F2"/>
    <w:rsid w:val="00810B6F"/>
    <w:rsid w:val="00813584"/>
    <w:rsid w:val="00823AFE"/>
    <w:rsid w:val="008263AF"/>
    <w:rsid w:val="008648BD"/>
    <w:rsid w:val="0089297A"/>
    <w:rsid w:val="0089636C"/>
    <w:rsid w:val="008B39E1"/>
    <w:rsid w:val="008C73D8"/>
    <w:rsid w:val="008D286E"/>
    <w:rsid w:val="008F4F38"/>
    <w:rsid w:val="00926C45"/>
    <w:rsid w:val="00960464"/>
    <w:rsid w:val="009824D6"/>
    <w:rsid w:val="009C2CA4"/>
    <w:rsid w:val="009F720A"/>
    <w:rsid w:val="00A13470"/>
    <w:rsid w:val="00A16D01"/>
    <w:rsid w:val="00A23455"/>
    <w:rsid w:val="00A47489"/>
    <w:rsid w:val="00A6081A"/>
    <w:rsid w:val="00A656A7"/>
    <w:rsid w:val="00AA02C9"/>
    <w:rsid w:val="00AB4647"/>
    <w:rsid w:val="00AB4E09"/>
    <w:rsid w:val="00AC656D"/>
    <w:rsid w:val="00AE243B"/>
    <w:rsid w:val="00B20116"/>
    <w:rsid w:val="00B27635"/>
    <w:rsid w:val="00B747CA"/>
    <w:rsid w:val="00B81949"/>
    <w:rsid w:val="00BC57C1"/>
    <w:rsid w:val="00C06162"/>
    <w:rsid w:val="00C119C7"/>
    <w:rsid w:val="00C3489D"/>
    <w:rsid w:val="00C64B3C"/>
    <w:rsid w:val="00C67378"/>
    <w:rsid w:val="00CA54D3"/>
    <w:rsid w:val="00CA5B8F"/>
    <w:rsid w:val="00CC7EB9"/>
    <w:rsid w:val="00CE01A1"/>
    <w:rsid w:val="00CE651B"/>
    <w:rsid w:val="00CF4433"/>
    <w:rsid w:val="00D04C9C"/>
    <w:rsid w:val="00D510EA"/>
    <w:rsid w:val="00D6035A"/>
    <w:rsid w:val="00D634DB"/>
    <w:rsid w:val="00D73552"/>
    <w:rsid w:val="00D84DE8"/>
    <w:rsid w:val="00DA2C2A"/>
    <w:rsid w:val="00DB42E6"/>
    <w:rsid w:val="00DE5093"/>
    <w:rsid w:val="00E531F9"/>
    <w:rsid w:val="00E6121B"/>
    <w:rsid w:val="00EC4392"/>
    <w:rsid w:val="00ED5DA1"/>
    <w:rsid w:val="00ED779D"/>
    <w:rsid w:val="00F1597D"/>
    <w:rsid w:val="00F22D1F"/>
    <w:rsid w:val="00F23187"/>
    <w:rsid w:val="00F72722"/>
    <w:rsid w:val="00F72B00"/>
    <w:rsid w:val="00F95B9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B4F542"/>
  <w15:docId w15:val="{A91A6F60-9FDF-4B48-85B3-6F5EC64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7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D6"/>
    <w:pPr>
      <w:widowControl w:val="0"/>
      <w:snapToGrid w:val="0"/>
      <w:spacing w:before="0"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9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39E1"/>
  </w:style>
  <w:style w:type="paragraph" w:styleId="Footer">
    <w:name w:val="footer"/>
    <w:basedOn w:val="Normal"/>
    <w:link w:val="FooterChar"/>
    <w:uiPriority w:val="99"/>
    <w:unhideWhenUsed/>
    <w:rsid w:val="008B39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39E1"/>
  </w:style>
  <w:style w:type="character" w:styleId="Hyperlink">
    <w:name w:val="Hyperlink"/>
    <w:basedOn w:val="DefaultParagraphFont"/>
    <w:uiPriority w:val="99"/>
    <w:unhideWhenUsed/>
    <w:rsid w:val="004D59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58C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D77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779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3FFD-A634-439A-BF2E-5BFA2F56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Haun</dc:creator>
  <cp:lastModifiedBy>Catherine Dizon</cp:lastModifiedBy>
  <cp:revision>4</cp:revision>
  <cp:lastPrinted>2017-07-25T00:47:00Z</cp:lastPrinted>
  <dcterms:created xsi:type="dcterms:W3CDTF">2018-02-16T03:20:00Z</dcterms:created>
  <dcterms:modified xsi:type="dcterms:W3CDTF">2018-04-24T23:30:00Z</dcterms:modified>
</cp:coreProperties>
</file>