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7D31" w:themeFill="accent2"/>
        <w:tblLook w:val="04A0" w:firstRow="1" w:lastRow="0" w:firstColumn="1" w:lastColumn="0" w:noHBand="0" w:noVBand="1"/>
      </w:tblPr>
      <w:tblGrid>
        <w:gridCol w:w="7330"/>
        <w:gridCol w:w="3563"/>
      </w:tblGrid>
      <w:tr w:rsidR="001C0096" w:rsidRPr="00CA6E3E" w14:paraId="628B9440" w14:textId="77777777" w:rsidTr="00065622">
        <w:trPr>
          <w:trHeight w:val="1163"/>
        </w:trPr>
        <w:tc>
          <w:tcPr>
            <w:tcW w:w="7330" w:type="dxa"/>
            <w:shd w:val="clear" w:color="auto" w:fill="FF7600"/>
            <w:vAlign w:val="center"/>
          </w:tcPr>
          <w:p w14:paraId="7A2B05A1" w14:textId="20D4157B" w:rsidR="00F80E03" w:rsidRPr="00065622" w:rsidRDefault="00065622" w:rsidP="00F80E03">
            <w:pPr>
              <w:rPr>
                <w:b/>
                <w:bCs/>
              </w:rPr>
            </w:pPr>
            <w:r w:rsidRPr="00065622">
              <w:rPr>
                <w:rFonts w:eastAsia="Times New Roman" w:cstheme="minorHAnsi"/>
                <w:b/>
                <w:bCs/>
                <w:color w:val="FFFFFF" w:themeColor="background1"/>
                <w:sz w:val="48"/>
                <w:szCs w:val="48"/>
              </w:rPr>
              <w:t>Data Collection Training Done Right</w:t>
            </w:r>
          </w:p>
        </w:tc>
        <w:tc>
          <w:tcPr>
            <w:tcW w:w="3563" w:type="dxa"/>
            <w:shd w:val="clear" w:color="auto" w:fill="FF7600"/>
            <w:vAlign w:val="center"/>
          </w:tcPr>
          <w:p w14:paraId="5F83E8EC" w14:textId="6B18D39C" w:rsidR="001C0096" w:rsidRPr="00CA6E3E" w:rsidRDefault="00065622" w:rsidP="001C0096">
            <w:pPr>
              <w:spacing w:before="240"/>
              <w:jc w:val="right"/>
            </w:pPr>
            <w:r w:rsidRPr="00CA6E3E">
              <w:rPr>
                <w:noProof/>
              </w:rPr>
              <w:drawing>
                <wp:anchor distT="0" distB="0" distL="114300" distR="114300" simplePos="0" relativeHeight="251658240" behindDoc="0" locked="0" layoutInCell="1" allowOverlap="1" wp14:anchorId="1FC35862" wp14:editId="4CEB1CFD">
                  <wp:simplePos x="0" y="0"/>
                  <wp:positionH relativeFrom="column">
                    <wp:posOffset>673735</wp:posOffset>
                  </wp:positionH>
                  <wp:positionV relativeFrom="paragraph">
                    <wp:posOffset>-18415</wp:posOffset>
                  </wp:positionV>
                  <wp:extent cx="1404620" cy="556260"/>
                  <wp:effectExtent l="0" t="0" r="5080" b="0"/>
                  <wp:wrapNone/>
                  <wp:docPr id="2" name="Picture 2"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404620" cy="556260"/>
                          </a:xfrm>
                          <a:prstGeom prst="rect">
                            <a:avLst/>
                          </a:prstGeom>
                        </pic:spPr>
                      </pic:pic>
                    </a:graphicData>
                  </a:graphic>
                  <wp14:sizeRelH relativeFrom="margin">
                    <wp14:pctWidth>0</wp14:pctWidth>
                  </wp14:sizeRelH>
                  <wp14:sizeRelV relativeFrom="margin">
                    <wp14:pctHeight>0</wp14:pctHeight>
                  </wp14:sizeRelV>
                </wp:anchor>
              </w:drawing>
            </w:r>
          </w:p>
        </w:tc>
      </w:tr>
    </w:tbl>
    <w:p w14:paraId="48C9A0CF" w14:textId="61F318B1" w:rsidR="001C0096" w:rsidRDefault="001C0096" w:rsidP="00073F62">
      <w:pPr>
        <w:spacing w:after="0" w:line="240" w:lineRule="auto"/>
        <w:ind w:left="0" w:firstLine="0"/>
        <w:rPr>
          <w:rFonts w:eastAsia="Times New Roman" w:cstheme="minorHAnsi"/>
        </w:rPr>
      </w:pPr>
    </w:p>
    <w:p w14:paraId="68DAEA66" w14:textId="022B1CFA" w:rsidR="00073F62" w:rsidRPr="00073F62" w:rsidRDefault="00073F62" w:rsidP="001A0FFC">
      <w:pPr>
        <w:spacing w:after="0" w:line="240" w:lineRule="auto"/>
        <w:ind w:left="288" w:right="288" w:firstLine="0"/>
        <w:rPr>
          <w:rFonts w:eastAsia="Times New Roman" w:cstheme="minorHAnsi"/>
        </w:rPr>
      </w:pPr>
      <w:r w:rsidRPr="00073F62">
        <w:rPr>
          <w:rFonts w:eastAsia="Times New Roman" w:cstheme="minorHAnsi"/>
        </w:rPr>
        <w:t>Conducting evaluation activities, and doing it well, can take a lot of time—time to develop the data collection instrument, time to investigate and plan the logistics of data collection, time to actually collect the data, time to clean and analyze it and time to write up the results.  After investing all of those staff and volunteer hours, the last thing you want to end up with is unreliable data!</w:t>
      </w:r>
    </w:p>
    <w:p w14:paraId="315F4364" w14:textId="77777777" w:rsidR="00073F62" w:rsidRPr="00073F62" w:rsidRDefault="00073F62" w:rsidP="001A0FFC">
      <w:pPr>
        <w:spacing w:after="0" w:line="240" w:lineRule="auto"/>
        <w:ind w:left="288" w:right="288" w:firstLine="0"/>
        <w:rPr>
          <w:rFonts w:eastAsia="Times New Roman" w:cstheme="minorHAnsi"/>
        </w:rPr>
      </w:pPr>
    </w:p>
    <w:p w14:paraId="2EA9223B" w14:textId="77777777" w:rsidR="00073F62" w:rsidRPr="00073F62" w:rsidRDefault="00073F62" w:rsidP="001A0FFC">
      <w:pPr>
        <w:spacing w:after="0" w:line="240" w:lineRule="auto"/>
        <w:ind w:left="288" w:right="288" w:firstLine="0"/>
        <w:rPr>
          <w:rFonts w:eastAsia="Times New Roman" w:cstheme="minorHAnsi"/>
        </w:rPr>
      </w:pPr>
      <w:r w:rsidRPr="00073F62">
        <w:rPr>
          <w:rFonts w:eastAsia="Times New Roman" w:cstheme="minorHAnsi"/>
        </w:rPr>
        <w:t xml:space="preserve">That’s where data collector training comes in.  </w:t>
      </w:r>
      <w:r w:rsidRPr="00073F62">
        <w:rPr>
          <w:rFonts w:eastAsia="Times New Roman" w:cstheme="minorHAnsi"/>
          <w:b/>
          <w:bCs/>
        </w:rPr>
        <w:t>Whenever two or more data collectors will be administering a survey to respondents or making observations, the project must conduct a data collector training so that everyone understands the survey or observation in exactly the same way.</w:t>
      </w:r>
      <w:r w:rsidRPr="00073F62">
        <w:rPr>
          <w:rFonts w:eastAsia="Times New Roman" w:cstheme="minorHAnsi"/>
        </w:rPr>
        <w:t xml:space="preserve">  The aim of the training is to create a shared understanding of how to conduct the evaluation activity so that the data collection protocol is conducted consistently, as designed, and without variation.  Getting reliable and accurate data depends on it!  </w:t>
      </w:r>
    </w:p>
    <w:p w14:paraId="2992EF2D" w14:textId="77777777" w:rsidR="00073F62" w:rsidRPr="00073F62" w:rsidRDefault="00073F62" w:rsidP="001A0FFC">
      <w:pPr>
        <w:spacing w:after="0" w:line="240" w:lineRule="auto"/>
        <w:ind w:left="288" w:right="288" w:firstLine="0"/>
        <w:rPr>
          <w:rFonts w:eastAsia="Times New Roman" w:cstheme="minorHAnsi"/>
        </w:rPr>
      </w:pPr>
    </w:p>
    <w:p w14:paraId="04EE5E9A" w14:textId="77777777" w:rsidR="00073F62" w:rsidRPr="00073F62" w:rsidRDefault="00073F62" w:rsidP="001A0FFC">
      <w:pPr>
        <w:autoSpaceDE w:val="0"/>
        <w:autoSpaceDN w:val="0"/>
        <w:adjustRightInd w:val="0"/>
        <w:spacing w:after="0" w:line="240" w:lineRule="auto"/>
        <w:ind w:left="288" w:right="288" w:firstLine="0"/>
        <w:rPr>
          <w:rFonts w:eastAsia="Times New Roman" w:cstheme="minorHAnsi"/>
        </w:rPr>
      </w:pPr>
      <w:r w:rsidRPr="00073F62">
        <w:rPr>
          <w:rFonts w:eastAsia="Times New Roman" w:cstheme="minorHAnsi"/>
        </w:rPr>
        <w:t>The World Health Organization notes that, “poor survey prep, including inadequate training of survey personnel, results in onerous and time-consuming data checking that can significantly delay the survey’s completion.  It is therefore more effective and efficient to apply rigorous data collection methods than to try to clean or correct data once they are already collected.”</w:t>
      </w:r>
    </w:p>
    <w:p w14:paraId="47AFF7D6" w14:textId="77777777" w:rsidR="00073F62" w:rsidRPr="00073F62" w:rsidRDefault="00073F62" w:rsidP="001A0FFC">
      <w:pPr>
        <w:spacing w:after="0" w:line="240" w:lineRule="auto"/>
        <w:ind w:left="288" w:right="288" w:firstLine="0"/>
        <w:rPr>
          <w:rFonts w:eastAsia="Times New Roman" w:cstheme="minorHAnsi"/>
        </w:rPr>
      </w:pPr>
    </w:p>
    <w:p w14:paraId="44C3A7EE" w14:textId="77777777" w:rsidR="00073F62" w:rsidRPr="00073F62" w:rsidRDefault="00073F62" w:rsidP="001A0FFC">
      <w:pPr>
        <w:spacing w:after="0" w:line="240" w:lineRule="auto"/>
        <w:ind w:left="288" w:right="288" w:firstLine="0"/>
        <w:rPr>
          <w:rFonts w:eastAsia="Times New Roman" w:cstheme="minorHAnsi"/>
        </w:rPr>
      </w:pPr>
      <w:r w:rsidRPr="00073F62">
        <w:rPr>
          <w:rFonts w:eastAsia="Times New Roman" w:cstheme="minorHAnsi"/>
        </w:rPr>
        <w:t>So don’t skimp on training activities!  Be sure to allow enough time for the team to thoroughly get familiar with the data collection protocol and practice administering it until they can do so without error.  Depending on how long and complex the instrument is, the training could take as little as one hour to as much as several days!</w:t>
      </w:r>
    </w:p>
    <w:p w14:paraId="210E317A" w14:textId="77777777" w:rsidR="00073F62" w:rsidRPr="00073F62" w:rsidRDefault="00073F62" w:rsidP="001A0FFC">
      <w:pPr>
        <w:spacing w:after="0" w:line="240" w:lineRule="auto"/>
        <w:ind w:left="288" w:right="288" w:firstLine="0"/>
        <w:rPr>
          <w:rFonts w:eastAsia="Times New Roman" w:cstheme="minorHAnsi"/>
        </w:rPr>
      </w:pPr>
    </w:p>
    <w:p w14:paraId="388CCAE5" w14:textId="77777777" w:rsidR="00073F62" w:rsidRPr="00073F62" w:rsidRDefault="00073F62" w:rsidP="001A0FFC">
      <w:pPr>
        <w:spacing w:after="120" w:line="240" w:lineRule="auto"/>
        <w:ind w:left="288" w:right="288" w:firstLine="0"/>
        <w:rPr>
          <w:rFonts w:eastAsia="Times New Roman" w:cstheme="minorHAnsi"/>
        </w:rPr>
      </w:pPr>
      <w:r w:rsidRPr="00073F62">
        <w:rPr>
          <w:rFonts w:eastAsia="Times New Roman" w:cstheme="minorHAnsi"/>
        </w:rPr>
        <w:t>So what makes for a rigorous data collector training?  Here are some tips:</w:t>
      </w:r>
    </w:p>
    <w:p w14:paraId="0C50882A" w14:textId="77777777" w:rsidR="00073F62" w:rsidRPr="00073F62" w:rsidRDefault="00073F62" w:rsidP="001A0FFC">
      <w:pPr>
        <w:numPr>
          <w:ilvl w:val="0"/>
          <w:numId w:val="5"/>
        </w:numPr>
        <w:autoSpaceDE w:val="0"/>
        <w:autoSpaceDN w:val="0"/>
        <w:adjustRightInd w:val="0"/>
        <w:spacing w:after="120" w:line="240" w:lineRule="auto"/>
        <w:ind w:left="936" w:right="288"/>
        <w:rPr>
          <w:rFonts w:eastAsia="Times New Roman" w:cstheme="minorHAnsi"/>
        </w:rPr>
      </w:pPr>
      <w:r w:rsidRPr="00073F62">
        <w:rPr>
          <w:rFonts w:eastAsia="Times New Roman" w:cstheme="minorHAnsi"/>
        </w:rPr>
        <w:t>Train all supervisors and data collectors together to ensure consistency.</w:t>
      </w:r>
    </w:p>
    <w:p w14:paraId="088465FD" w14:textId="77777777" w:rsidR="00073F62" w:rsidRPr="00073F62" w:rsidRDefault="00073F62" w:rsidP="001A0FFC">
      <w:pPr>
        <w:numPr>
          <w:ilvl w:val="0"/>
          <w:numId w:val="5"/>
        </w:numPr>
        <w:autoSpaceDE w:val="0"/>
        <w:autoSpaceDN w:val="0"/>
        <w:adjustRightInd w:val="0"/>
        <w:spacing w:after="120" w:line="240" w:lineRule="auto"/>
        <w:ind w:left="936" w:right="288"/>
        <w:rPr>
          <w:rFonts w:eastAsia="Times New Roman" w:cstheme="minorHAnsi"/>
        </w:rPr>
      </w:pPr>
      <w:r w:rsidRPr="00073F62">
        <w:rPr>
          <w:rFonts w:eastAsia="Times New Roman" w:cstheme="minorHAnsi"/>
        </w:rPr>
        <w:t>Hold the training just before data collection starts so instructions are fresh in mind.</w:t>
      </w:r>
    </w:p>
    <w:p w14:paraId="5A494D43" w14:textId="77777777" w:rsidR="00073F62" w:rsidRPr="00073F62" w:rsidRDefault="00073F62" w:rsidP="001A0FFC">
      <w:pPr>
        <w:numPr>
          <w:ilvl w:val="0"/>
          <w:numId w:val="5"/>
        </w:numPr>
        <w:autoSpaceDE w:val="0"/>
        <w:autoSpaceDN w:val="0"/>
        <w:adjustRightInd w:val="0"/>
        <w:spacing w:after="120" w:line="240" w:lineRule="auto"/>
        <w:ind w:left="936" w:right="288"/>
        <w:rPr>
          <w:rFonts w:eastAsia="Times New Roman" w:cstheme="minorHAnsi"/>
        </w:rPr>
      </w:pPr>
      <w:r w:rsidRPr="00073F62">
        <w:rPr>
          <w:rFonts w:eastAsia="Times New Roman" w:cstheme="minorHAnsi"/>
        </w:rPr>
        <w:t>In addition to the actual instrument or form, provide a clear, written protocol that gives instructions and the intent of each question.</w:t>
      </w:r>
    </w:p>
    <w:p w14:paraId="4925DF94" w14:textId="77777777" w:rsidR="00073F62" w:rsidRPr="00073F62" w:rsidRDefault="00073F62" w:rsidP="001A0FFC">
      <w:pPr>
        <w:numPr>
          <w:ilvl w:val="0"/>
          <w:numId w:val="5"/>
        </w:numPr>
        <w:autoSpaceDE w:val="0"/>
        <w:autoSpaceDN w:val="0"/>
        <w:adjustRightInd w:val="0"/>
        <w:spacing w:after="120" w:line="240" w:lineRule="auto"/>
        <w:ind w:left="936" w:right="288"/>
        <w:rPr>
          <w:rFonts w:eastAsia="Times New Roman" w:cstheme="minorHAnsi"/>
        </w:rPr>
      </w:pPr>
      <w:r w:rsidRPr="00073F62">
        <w:rPr>
          <w:rFonts w:eastAsia="Times New Roman" w:cstheme="minorHAnsi"/>
        </w:rPr>
        <w:t xml:space="preserve">Create a non-threatening environment for trainees to ask questions.  </w:t>
      </w:r>
    </w:p>
    <w:p w14:paraId="4CFEFB3E" w14:textId="77777777" w:rsidR="00073F62" w:rsidRPr="00073F62" w:rsidRDefault="00073F62" w:rsidP="001A0FFC">
      <w:pPr>
        <w:numPr>
          <w:ilvl w:val="0"/>
          <w:numId w:val="5"/>
        </w:numPr>
        <w:autoSpaceDE w:val="0"/>
        <w:autoSpaceDN w:val="0"/>
        <w:adjustRightInd w:val="0"/>
        <w:spacing w:after="120" w:line="240" w:lineRule="auto"/>
        <w:ind w:left="936" w:right="288"/>
        <w:rPr>
          <w:rFonts w:eastAsia="Times New Roman" w:cstheme="minorHAnsi"/>
        </w:rPr>
      </w:pPr>
      <w:r w:rsidRPr="00073F62">
        <w:rPr>
          <w:rFonts w:eastAsia="Times New Roman" w:cstheme="minorHAnsi"/>
        </w:rPr>
        <w:t xml:space="preserve">Allow sufficient time for everyone to practice and receive constructive feedback. </w:t>
      </w:r>
    </w:p>
    <w:p w14:paraId="6CF9687D" w14:textId="77777777" w:rsidR="00073F62" w:rsidRPr="00073F62" w:rsidRDefault="00073F62" w:rsidP="001A0FFC">
      <w:pPr>
        <w:numPr>
          <w:ilvl w:val="0"/>
          <w:numId w:val="5"/>
        </w:numPr>
        <w:autoSpaceDE w:val="0"/>
        <w:autoSpaceDN w:val="0"/>
        <w:adjustRightInd w:val="0"/>
        <w:spacing w:after="120" w:line="240" w:lineRule="auto"/>
        <w:ind w:left="936" w:right="288"/>
        <w:rPr>
          <w:rFonts w:eastAsia="Times New Roman" w:cstheme="minorHAnsi"/>
        </w:rPr>
      </w:pPr>
      <w:r w:rsidRPr="00073F62">
        <w:rPr>
          <w:rFonts w:eastAsia="Times New Roman" w:cstheme="minorHAnsi"/>
        </w:rPr>
        <w:t>Assess data collector accuracy (inter-rater reliability) and readiness.</w:t>
      </w:r>
    </w:p>
    <w:p w14:paraId="372A83FD" w14:textId="77777777" w:rsidR="00073F62" w:rsidRPr="00073F62" w:rsidRDefault="00073F62" w:rsidP="001A0FFC">
      <w:pPr>
        <w:numPr>
          <w:ilvl w:val="0"/>
          <w:numId w:val="5"/>
        </w:numPr>
        <w:autoSpaceDE w:val="0"/>
        <w:autoSpaceDN w:val="0"/>
        <w:adjustRightInd w:val="0"/>
        <w:spacing w:after="120" w:line="240" w:lineRule="auto"/>
        <w:ind w:left="936" w:right="288"/>
        <w:rPr>
          <w:rFonts w:eastAsia="Times New Roman" w:cstheme="minorHAnsi"/>
        </w:rPr>
      </w:pPr>
      <w:r w:rsidRPr="00073F62">
        <w:rPr>
          <w:rFonts w:eastAsia="Times New Roman" w:cstheme="minorHAnsi"/>
        </w:rPr>
        <w:t>Include time for field practice in real life situations that won’t be part of the actual data sample to allow data collectors to try out the protocol.  Do a thorough debriefing to address remaining questions and to correct any inaccuracies you observe.</w:t>
      </w:r>
    </w:p>
    <w:p w14:paraId="75164F0F" w14:textId="261522B9" w:rsidR="00073F62" w:rsidRDefault="00073F62" w:rsidP="001A0FFC">
      <w:pPr>
        <w:numPr>
          <w:ilvl w:val="0"/>
          <w:numId w:val="5"/>
        </w:numPr>
        <w:autoSpaceDE w:val="0"/>
        <w:autoSpaceDN w:val="0"/>
        <w:adjustRightInd w:val="0"/>
        <w:spacing w:after="0" w:line="240" w:lineRule="auto"/>
        <w:ind w:left="936" w:right="288"/>
        <w:rPr>
          <w:rFonts w:eastAsia="Times New Roman" w:cstheme="minorHAnsi"/>
        </w:rPr>
      </w:pPr>
      <w:r w:rsidRPr="00073F62">
        <w:rPr>
          <w:rFonts w:eastAsia="Times New Roman" w:cstheme="minorHAnsi"/>
        </w:rPr>
        <w:t xml:space="preserve">Monitor actual data collection and provide team check-ins and debriefings the first few days of data collection and then sporadically throughout the field work. </w:t>
      </w:r>
    </w:p>
    <w:p w14:paraId="3B6DF14C" w14:textId="03CEB3D3" w:rsidR="003263CD" w:rsidRDefault="003263CD" w:rsidP="001A0FFC">
      <w:pPr>
        <w:autoSpaceDE w:val="0"/>
        <w:autoSpaceDN w:val="0"/>
        <w:adjustRightInd w:val="0"/>
        <w:spacing w:after="0" w:line="240" w:lineRule="auto"/>
        <w:ind w:left="288" w:right="288"/>
        <w:rPr>
          <w:rFonts w:eastAsia="Times New Roman" w:cstheme="minorHAnsi"/>
        </w:rPr>
      </w:pPr>
    </w:p>
    <w:p w14:paraId="3AB2259E" w14:textId="366A463B" w:rsidR="004B0067" w:rsidRPr="00CA6E3E" w:rsidRDefault="003263CD" w:rsidP="00780E19">
      <w:pPr>
        <w:pStyle w:val="Heading2"/>
        <w:spacing w:after="240" w:line="276" w:lineRule="auto"/>
        <w:ind w:left="288" w:right="288"/>
      </w:pPr>
      <w:bookmarkStart w:id="0" w:name="_Hlk99369569"/>
      <w:r>
        <w:t>References</w:t>
      </w:r>
    </w:p>
    <w:p w14:paraId="03B93AC5" w14:textId="77777777" w:rsidR="001A0FFC" w:rsidRDefault="000A7984" w:rsidP="001A0FFC">
      <w:pPr>
        <w:pStyle w:val="NoSpacing"/>
        <w:ind w:left="648" w:right="288"/>
      </w:pPr>
      <w:r w:rsidRPr="005674BA">
        <w:t>World Health Organization. 2008. “Measuring medicine prices, availability, affordability and price components,”</w:t>
      </w:r>
    </w:p>
    <w:p w14:paraId="21F04568" w14:textId="65A09308" w:rsidR="000A7984" w:rsidRDefault="000A7984" w:rsidP="001A0FFC">
      <w:pPr>
        <w:autoSpaceDE w:val="0"/>
        <w:autoSpaceDN w:val="0"/>
        <w:adjustRightInd w:val="0"/>
        <w:ind w:left="288" w:right="288" w:firstLine="0"/>
        <w:rPr>
          <w:rStyle w:val="Hyperlink"/>
          <w:rFonts w:cstheme="minorHAnsi"/>
        </w:rPr>
      </w:pPr>
      <w:r w:rsidRPr="005674BA">
        <w:rPr>
          <w:rFonts w:cstheme="minorHAnsi"/>
        </w:rPr>
        <w:t>2</w:t>
      </w:r>
      <w:r w:rsidRPr="003263CD">
        <w:rPr>
          <w:rFonts w:cstheme="minorHAnsi"/>
          <w:vertAlign w:val="superscript"/>
        </w:rPr>
        <w:t>nd</w:t>
      </w:r>
      <w:r w:rsidR="003263CD">
        <w:rPr>
          <w:rFonts w:cstheme="minorHAnsi"/>
          <w:vertAlign w:val="superscript"/>
        </w:rPr>
        <w:t xml:space="preserve"> </w:t>
      </w:r>
      <w:r w:rsidRPr="005674BA">
        <w:rPr>
          <w:rFonts w:cstheme="minorHAnsi"/>
        </w:rPr>
        <w:t>ed</w:t>
      </w:r>
      <w:r>
        <w:rPr>
          <w:rFonts w:cstheme="minorHAnsi"/>
        </w:rPr>
        <w:t>., p.55</w:t>
      </w:r>
      <w:r w:rsidRPr="005674BA">
        <w:rPr>
          <w:rFonts w:cstheme="minorHAnsi"/>
        </w:rPr>
        <w:t xml:space="preserve"> </w:t>
      </w:r>
      <w:r>
        <w:rPr>
          <w:rFonts w:cstheme="minorHAnsi"/>
        </w:rPr>
        <w:t xml:space="preserve"> </w:t>
      </w:r>
      <w:hyperlink r:id="rId9" w:history="1">
        <w:r w:rsidRPr="00EB312C">
          <w:rPr>
            <w:rStyle w:val="Hyperlink"/>
            <w:rFonts w:cstheme="minorHAnsi"/>
          </w:rPr>
          <w:t>https://haiweb.org/publication/measuring-medicine-prices-availability-affordability-and-price-components-2nd-ed/</w:t>
        </w:r>
      </w:hyperlink>
    </w:p>
    <w:p w14:paraId="0FD130CD" w14:textId="47C4D82E" w:rsidR="00BA1DC0" w:rsidRPr="00065622" w:rsidRDefault="00CB41EC" w:rsidP="00065622">
      <w:pPr>
        <w:autoSpaceDE w:val="0"/>
        <w:autoSpaceDN w:val="0"/>
        <w:adjustRightInd w:val="0"/>
        <w:ind w:left="648"/>
        <w:rPr>
          <w:rFonts w:cstheme="minorHAnsi"/>
          <w:color w:val="0000FF"/>
          <w:u w:val="single"/>
        </w:rPr>
      </w:pPr>
      <w:hyperlink r:id="rId10" w:history="1">
        <w:r w:rsidR="000A7984" w:rsidRPr="005674BA">
          <w:rPr>
            <w:rStyle w:val="Hyperlink"/>
            <w:rFonts w:cstheme="minorHAnsi"/>
          </w:rPr>
          <w:t>http://www.nationalserviceresources.org/node/17592</w:t>
        </w:r>
      </w:hyperlink>
      <w:bookmarkEnd w:id="0"/>
    </w:p>
    <w:sectPr w:rsidR="00BA1DC0" w:rsidRPr="00065622" w:rsidSect="00BA1DC0">
      <w:footerReference w:type="first" r:id="rId11"/>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BCE36" w14:textId="77777777" w:rsidR="006A7EB3" w:rsidRDefault="006A7EB3" w:rsidP="008E514B">
      <w:pPr>
        <w:spacing w:after="0" w:line="240" w:lineRule="auto"/>
      </w:pPr>
      <w:r>
        <w:separator/>
      </w:r>
    </w:p>
  </w:endnote>
  <w:endnote w:type="continuationSeparator" w:id="0">
    <w:p w14:paraId="3F968C3C" w14:textId="77777777" w:rsidR="006A7EB3" w:rsidRDefault="006A7EB3" w:rsidP="008E5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2EABA" w14:textId="51D828C2" w:rsidR="00065622" w:rsidRPr="00065622" w:rsidRDefault="00065622" w:rsidP="00065622">
    <w:pPr>
      <w:pStyle w:val="NormalWeb"/>
      <w:jc w:val="center"/>
      <w:rPr>
        <w:rFonts w:ascii="Calibri" w:hAnsi="Calibri" w:cs="Arial"/>
        <w:color w:val="808080"/>
        <w:sz w:val="18"/>
        <w:szCs w:val="18"/>
      </w:rPr>
    </w:pPr>
    <w:r>
      <w:tab/>
    </w:r>
    <w:r>
      <w:tab/>
    </w:r>
    <w:r>
      <w:rPr>
        <w:rFonts w:ascii="Calibri" w:hAnsi="Calibri" w:cs="Arial"/>
        <w:color w:val="808080"/>
        <w:sz w:val="18"/>
        <w:szCs w:val="18"/>
      </w:rPr>
      <w:t>© 2022. California Department of Public Health. Funded under contract #20-10273.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B266D" w14:textId="77777777" w:rsidR="006A7EB3" w:rsidRDefault="006A7EB3" w:rsidP="008E514B">
      <w:pPr>
        <w:spacing w:after="0" w:line="240" w:lineRule="auto"/>
      </w:pPr>
      <w:r>
        <w:separator/>
      </w:r>
    </w:p>
  </w:footnote>
  <w:footnote w:type="continuationSeparator" w:id="0">
    <w:p w14:paraId="40A7614B" w14:textId="77777777" w:rsidR="006A7EB3" w:rsidRDefault="006A7EB3" w:rsidP="008E51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2038B3"/>
    <w:multiLevelType w:val="hybridMultilevel"/>
    <w:tmpl w:val="DF9032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315962"/>
    <w:multiLevelType w:val="hybridMultilevel"/>
    <w:tmpl w:val="8BAE390E"/>
    <w:lvl w:ilvl="0" w:tplc="399218EC">
      <w:start w:val="1"/>
      <w:numFmt w:val="bullet"/>
      <w:lvlText w:val="❶"/>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BF2ED9"/>
    <w:multiLevelType w:val="hybridMultilevel"/>
    <w:tmpl w:val="D93C6380"/>
    <w:lvl w:ilvl="0" w:tplc="399218EC">
      <w:start w:val="1"/>
      <w:numFmt w:val="bullet"/>
      <w:lvlText w:val="❶"/>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38013E"/>
    <w:multiLevelType w:val="hybridMultilevel"/>
    <w:tmpl w:val="A4F0340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651B72"/>
    <w:multiLevelType w:val="hybridMultilevel"/>
    <w:tmpl w:val="4516CC2E"/>
    <w:lvl w:ilvl="0" w:tplc="A1C6AC56">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757"/>
    <w:rsid w:val="00001C25"/>
    <w:rsid w:val="0000751E"/>
    <w:rsid w:val="00015666"/>
    <w:rsid w:val="00016042"/>
    <w:rsid w:val="00023656"/>
    <w:rsid w:val="00065622"/>
    <w:rsid w:val="00067320"/>
    <w:rsid w:val="0007380E"/>
    <w:rsid w:val="00073F62"/>
    <w:rsid w:val="00074F6A"/>
    <w:rsid w:val="00077002"/>
    <w:rsid w:val="00087023"/>
    <w:rsid w:val="000A4BA2"/>
    <w:rsid w:val="000A7984"/>
    <w:rsid w:val="000B2414"/>
    <w:rsid w:val="000B5FEB"/>
    <w:rsid w:val="000C2DEC"/>
    <w:rsid w:val="000F1E57"/>
    <w:rsid w:val="00100CDC"/>
    <w:rsid w:val="00114097"/>
    <w:rsid w:val="00115B6D"/>
    <w:rsid w:val="00126E85"/>
    <w:rsid w:val="001407F5"/>
    <w:rsid w:val="00143468"/>
    <w:rsid w:val="001572CE"/>
    <w:rsid w:val="00164306"/>
    <w:rsid w:val="00174CE0"/>
    <w:rsid w:val="001823EE"/>
    <w:rsid w:val="00186EBD"/>
    <w:rsid w:val="00187833"/>
    <w:rsid w:val="0019335C"/>
    <w:rsid w:val="001A0FFC"/>
    <w:rsid w:val="001A1257"/>
    <w:rsid w:val="001A46DB"/>
    <w:rsid w:val="001A4980"/>
    <w:rsid w:val="001A611E"/>
    <w:rsid w:val="001B39C5"/>
    <w:rsid w:val="001C0096"/>
    <w:rsid w:val="001C49C1"/>
    <w:rsid w:val="001E6EF3"/>
    <w:rsid w:val="00201E03"/>
    <w:rsid w:val="00203BBD"/>
    <w:rsid w:val="00206955"/>
    <w:rsid w:val="00216414"/>
    <w:rsid w:val="00246746"/>
    <w:rsid w:val="00270C39"/>
    <w:rsid w:val="002715D4"/>
    <w:rsid w:val="00276C4A"/>
    <w:rsid w:val="0028544B"/>
    <w:rsid w:val="00287B0D"/>
    <w:rsid w:val="00294191"/>
    <w:rsid w:val="002B3443"/>
    <w:rsid w:val="002B632C"/>
    <w:rsid w:val="002B69D6"/>
    <w:rsid w:val="002B76C8"/>
    <w:rsid w:val="002C5F87"/>
    <w:rsid w:val="002C6031"/>
    <w:rsid w:val="002E0F11"/>
    <w:rsid w:val="002E5D23"/>
    <w:rsid w:val="002F43A7"/>
    <w:rsid w:val="002F4FF1"/>
    <w:rsid w:val="002F6027"/>
    <w:rsid w:val="00303913"/>
    <w:rsid w:val="0031013F"/>
    <w:rsid w:val="003235D1"/>
    <w:rsid w:val="003263CD"/>
    <w:rsid w:val="00327B30"/>
    <w:rsid w:val="00341B0D"/>
    <w:rsid w:val="00342CCD"/>
    <w:rsid w:val="00343D08"/>
    <w:rsid w:val="00347D1E"/>
    <w:rsid w:val="00351AB0"/>
    <w:rsid w:val="003724BB"/>
    <w:rsid w:val="0037431E"/>
    <w:rsid w:val="00375FCB"/>
    <w:rsid w:val="00390AE4"/>
    <w:rsid w:val="003A05FA"/>
    <w:rsid w:val="003A0791"/>
    <w:rsid w:val="003A79C9"/>
    <w:rsid w:val="003B2749"/>
    <w:rsid w:val="003B3CDB"/>
    <w:rsid w:val="003C78C6"/>
    <w:rsid w:val="003D44C1"/>
    <w:rsid w:val="003F0690"/>
    <w:rsid w:val="003F33E1"/>
    <w:rsid w:val="003F7BBE"/>
    <w:rsid w:val="0040173F"/>
    <w:rsid w:val="00416863"/>
    <w:rsid w:val="00417A77"/>
    <w:rsid w:val="00424335"/>
    <w:rsid w:val="0042595A"/>
    <w:rsid w:val="00430716"/>
    <w:rsid w:val="0043432D"/>
    <w:rsid w:val="00434CC2"/>
    <w:rsid w:val="00435773"/>
    <w:rsid w:val="00456FF2"/>
    <w:rsid w:val="00486DDB"/>
    <w:rsid w:val="004B0067"/>
    <w:rsid w:val="004B4AA1"/>
    <w:rsid w:val="004C5FD7"/>
    <w:rsid w:val="004E5F41"/>
    <w:rsid w:val="004F7DD5"/>
    <w:rsid w:val="00512852"/>
    <w:rsid w:val="005224E9"/>
    <w:rsid w:val="005376AB"/>
    <w:rsid w:val="0054677C"/>
    <w:rsid w:val="00551D21"/>
    <w:rsid w:val="00556F6E"/>
    <w:rsid w:val="00566F34"/>
    <w:rsid w:val="00570089"/>
    <w:rsid w:val="0057057A"/>
    <w:rsid w:val="0057351A"/>
    <w:rsid w:val="00573A83"/>
    <w:rsid w:val="005751A5"/>
    <w:rsid w:val="00585D72"/>
    <w:rsid w:val="005979B1"/>
    <w:rsid w:val="00597D3F"/>
    <w:rsid w:val="005A202C"/>
    <w:rsid w:val="005C404E"/>
    <w:rsid w:val="005D41A8"/>
    <w:rsid w:val="005E341E"/>
    <w:rsid w:val="006109AF"/>
    <w:rsid w:val="006179C6"/>
    <w:rsid w:val="00617C73"/>
    <w:rsid w:val="00624018"/>
    <w:rsid w:val="00631E15"/>
    <w:rsid w:val="00666C89"/>
    <w:rsid w:val="006703B6"/>
    <w:rsid w:val="006725F8"/>
    <w:rsid w:val="0068124C"/>
    <w:rsid w:val="00681BC3"/>
    <w:rsid w:val="00683731"/>
    <w:rsid w:val="00684DA2"/>
    <w:rsid w:val="00684F7C"/>
    <w:rsid w:val="00694E6D"/>
    <w:rsid w:val="006A7EB3"/>
    <w:rsid w:val="006E1FA9"/>
    <w:rsid w:val="006E1FAC"/>
    <w:rsid w:val="006E23E8"/>
    <w:rsid w:val="006E2B61"/>
    <w:rsid w:val="006E716D"/>
    <w:rsid w:val="00704DCF"/>
    <w:rsid w:val="00705204"/>
    <w:rsid w:val="00706140"/>
    <w:rsid w:val="00706B96"/>
    <w:rsid w:val="0073017C"/>
    <w:rsid w:val="0074079B"/>
    <w:rsid w:val="00742E2B"/>
    <w:rsid w:val="0074315C"/>
    <w:rsid w:val="00756911"/>
    <w:rsid w:val="00761C6E"/>
    <w:rsid w:val="0076595E"/>
    <w:rsid w:val="007723F4"/>
    <w:rsid w:val="00780E19"/>
    <w:rsid w:val="00781F1F"/>
    <w:rsid w:val="007873DC"/>
    <w:rsid w:val="007913DD"/>
    <w:rsid w:val="00792C0A"/>
    <w:rsid w:val="007D0192"/>
    <w:rsid w:val="007D6FD8"/>
    <w:rsid w:val="008014DF"/>
    <w:rsid w:val="0080168B"/>
    <w:rsid w:val="0081267B"/>
    <w:rsid w:val="0081457C"/>
    <w:rsid w:val="00821923"/>
    <w:rsid w:val="00822571"/>
    <w:rsid w:val="00823347"/>
    <w:rsid w:val="0083033F"/>
    <w:rsid w:val="00840F78"/>
    <w:rsid w:val="008437C8"/>
    <w:rsid w:val="008544F1"/>
    <w:rsid w:val="008643FC"/>
    <w:rsid w:val="0087114C"/>
    <w:rsid w:val="00874F26"/>
    <w:rsid w:val="0089049E"/>
    <w:rsid w:val="008A0E79"/>
    <w:rsid w:val="008A114C"/>
    <w:rsid w:val="008A71F3"/>
    <w:rsid w:val="008B5FD1"/>
    <w:rsid w:val="008B7A99"/>
    <w:rsid w:val="008C0B5F"/>
    <w:rsid w:val="008C309D"/>
    <w:rsid w:val="008D1184"/>
    <w:rsid w:val="008D357A"/>
    <w:rsid w:val="008D3EB3"/>
    <w:rsid w:val="008D638E"/>
    <w:rsid w:val="008E514B"/>
    <w:rsid w:val="008F2F51"/>
    <w:rsid w:val="00920BCB"/>
    <w:rsid w:val="009338CB"/>
    <w:rsid w:val="009351D7"/>
    <w:rsid w:val="009365FC"/>
    <w:rsid w:val="0094073B"/>
    <w:rsid w:val="00941DE2"/>
    <w:rsid w:val="00943FD9"/>
    <w:rsid w:val="00955955"/>
    <w:rsid w:val="00963E4F"/>
    <w:rsid w:val="00966FB2"/>
    <w:rsid w:val="009762CB"/>
    <w:rsid w:val="009919C2"/>
    <w:rsid w:val="00994F75"/>
    <w:rsid w:val="009A10BA"/>
    <w:rsid w:val="009B1067"/>
    <w:rsid w:val="009B63F0"/>
    <w:rsid w:val="009C08CF"/>
    <w:rsid w:val="009E2202"/>
    <w:rsid w:val="009E4D7C"/>
    <w:rsid w:val="009E4F88"/>
    <w:rsid w:val="009F4134"/>
    <w:rsid w:val="00A01BA0"/>
    <w:rsid w:val="00A0248C"/>
    <w:rsid w:val="00A02DB6"/>
    <w:rsid w:val="00A14860"/>
    <w:rsid w:val="00A42358"/>
    <w:rsid w:val="00A46D01"/>
    <w:rsid w:val="00A47F1F"/>
    <w:rsid w:val="00A51C5D"/>
    <w:rsid w:val="00A529B4"/>
    <w:rsid w:val="00A57030"/>
    <w:rsid w:val="00A651E1"/>
    <w:rsid w:val="00A665F0"/>
    <w:rsid w:val="00A70A9E"/>
    <w:rsid w:val="00A77C99"/>
    <w:rsid w:val="00A968EC"/>
    <w:rsid w:val="00A9695D"/>
    <w:rsid w:val="00A9773C"/>
    <w:rsid w:val="00AB1BFE"/>
    <w:rsid w:val="00AB1C76"/>
    <w:rsid w:val="00AB486F"/>
    <w:rsid w:val="00AB68D3"/>
    <w:rsid w:val="00AB7734"/>
    <w:rsid w:val="00AC7242"/>
    <w:rsid w:val="00AC7944"/>
    <w:rsid w:val="00AD6A05"/>
    <w:rsid w:val="00AD7EE1"/>
    <w:rsid w:val="00AE477D"/>
    <w:rsid w:val="00B02E91"/>
    <w:rsid w:val="00B35BBF"/>
    <w:rsid w:val="00B37B82"/>
    <w:rsid w:val="00B4390E"/>
    <w:rsid w:val="00B462DC"/>
    <w:rsid w:val="00B47234"/>
    <w:rsid w:val="00B51CA7"/>
    <w:rsid w:val="00B62426"/>
    <w:rsid w:val="00B64B7E"/>
    <w:rsid w:val="00B9431D"/>
    <w:rsid w:val="00B95AA4"/>
    <w:rsid w:val="00BA1DC0"/>
    <w:rsid w:val="00BA435B"/>
    <w:rsid w:val="00BA7E6B"/>
    <w:rsid w:val="00BB0BBA"/>
    <w:rsid w:val="00BB17E6"/>
    <w:rsid w:val="00BC0E95"/>
    <w:rsid w:val="00BC3E39"/>
    <w:rsid w:val="00BD49F7"/>
    <w:rsid w:val="00BD4A59"/>
    <w:rsid w:val="00BD752B"/>
    <w:rsid w:val="00BE0256"/>
    <w:rsid w:val="00BF3222"/>
    <w:rsid w:val="00BF3945"/>
    <w:rsid w:val="00BF5CD5"/>
    <w:rsid w:val="00BF7D13"/>
    <w:rsid w:val="00C14BD5"/>
    <w:rsid w:val="00C21EA2"/>
    <w:rsid w:val="00C2555B"/>
    <w:rsid w:val="00C41F51"/>
    <w:rsid w:val="00C42E11"/>
    <w:rsid w:val="00C55B1A"/>
    <w:rsid w:val="00C55DDF"/>
    <w:rsid w:val="00C6193C"/>
    <w:rsid w:val="00C642D1"/>
    <w:rsid w:val="00C64CAF"/>
    <w:rsid w:val="00C7657F"/>
    <w:rsid w:val="00C909AC"/>
    <w:rsid w:val="00C942BD"/>
    <w:rsid w:val="00C955E9"/>
    <w:rsid w:val="00CB0F82"/>
    <w:rsid w:val="00CB253E"/>
    <w:rsid w:val="00CB41EC"/>
    <w:rsid w:val="00CB5B03"/>
    <w:rsid w:val="00CE6A87"/>
    <w:rsid w:val="00D03D71"/>
    <w:rsid w:val="00D042ED"/>
    <w:rsid w:val="00D16719"/>
    <w:rsid w:val="00D1765D"/>
    <w:rsid w:val="00D2589E"/>
    <w:rsid w:val="00D27168"/>
    <w:rsid w:val="00D35E66"/>
    <w:rsid w:val="00D414BE"/>
    <w:rsid w:val="00D42EAC"/>
    <w:rsid w:val="00D61CEC"/>
    <w:rsid w:val="00D62693"/>
    <w:rsid w:val="00D6344F"/>
    <w:rsid w:val="00D73343"/>
    <w:rsid w:val="00D742E4"/>
    <w:rsid w:val="00D76C36"/>
    <w:rsid w:val="00D7741E"/>
    <w:rsid w:val="00D808F0"/>
    <w:rsid w:val="00D821D4"/>
    <w:rsid w:val="00D83B85"/>
    <w:rsid w:val="00D964A2"/>
    <w:rsid w:val="00DA0962"/>
    <w:rsid w:val="00DB52AA"/>
    <w:rsid w:val="00DB6483"/>
    <w:rsid w:val="00DE1581"/>
    <w:rsid w:val="00DE1BE0"/>
    <w:rsid w:val="00E00310"/>
    <w:rsid w:val="00E01AE9"/>
    <w:rsid w:val="00E03467"/>
    <w:rsid w:val="00E035D7"/>
    <w:rsid w:val="00E07BA8"/>
    <w:rsid w:val="00E23422"/>
    <w:rsid w:val="00E27FA2"/>
    <w:rsid w:val="00E309D6"/>
    <w:rsid w:val="00E365F8"/>
    <w:rsid w:val="00E43F53"/>
    <w:rsid w:val="00E45297"/>
    <w:rsid w:val="00E47C98"/>
    <w:rsid w:val="00E65B27"/>
    <w:rsid w:val="00E70DCF"/>
    <w:rsid w:val="00E900A1"/>
    <w:rsid w:val="00E910BB"/>
    <w:rsid w:val="00EA673D"/>
    <w:rsid w:val="00EB1DC8"/>
    <w:rsid w:val="00EB3646"/>
    <w:rsid w:val="00EC0CEB"/>
    <w:rsid w:val="00EC4DAB"/>
    <w:rsid w:val="00EE26DD"/>
    <w:rsid w:val="00EF1AAD"/>
    <w:rsid w:val="00EF2CB0"/>
    <w:rsid w:val="00F051FC"/>
    <w:rsid w:val="00F10921"/>
    <w:rsid w:val="00F10C55"/>
    <w:rsid w:val="00F1469E"/>
    <w:rsid w:val="00F20F40"/>
    <w:rsid w:val="00F46AC3"/>
    <w:rsid w:val="00F50BBE"/>
    <w:rsid w:val="00F51ADF"/>
    <w:rsid w:val="00F5447B"/>
    <w:rsid w:val="00F572FB"/>
    <w:rsid w:val="00F632A6"/>
    <w:rsid w:val="00F674FA"/>
    <w:rsid w:val="00F70898"/>
    <w:rsid w:val="00F75757"/>
    <w:rsid w:val="00F77349"/>
    <w:rsid w:val="00F7741D"/>
    <w:rsid w:val="00F80709"/>
    <w:rsid w:val="00F80E03"/>
    <w:rsid w:val="00F91D8C"/>
    <w:rsid w:val="00F923BA"/>
    <w:rsid w:val="00FA48DC"/>
    <w:rsid w:val="00FB4110"/>
    <w:rsid w:val="00FB67F4"/>
    <w:rsid w:val="00FC2CF0"/>
    <w:rsid w:val="00FC3C9D"/>
    <w:rsid w:val="00FD3FC7"/>
    <w:rsid w:val="00FE4177"/>
    <w:rsid w:val="00FF3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941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0067"/>
    <w:pPr>
      <w:spacing w:after="0" w:line="240" w:lineRule="auto"/>
      <w:ind w:left="0" w:firstLine="0"/>
      <w:outlineLvl w:val="0"/>
    </w:pPr>
    <w:rPr>
      <w:rFonts w:ascii="Calibri" w:eastAsia="Calibri" w:hAnsi="Calibri" w:cs="Calibri"/>
      <w:b/>
      <w:bCs/>
      <w:color w:val="FFFFFF" w:themeColor="background1"/>
      <w:spacing w:val="-14"/>
      <w:position w:val="2"/>
      <w:sz w:val="72"/>
      <w:szCs w:val="52"/>
    </w:rPr>
  </w:style>
  <w:style w:type="paragraph" w:styleId="Heading2">
    <w:name w:val="heading 2"/>
    <w:basedOn w:val="Normal"/>
    <w:next w:val="Normal"/>
    <w:link w:val="Heading2Char"/>
    <w:uiPriority w:val="9"/>
    <w:unhideWhenUsed/>
    <w:qFormat/>
    <w:rsid w:val="004B0067"/>
    <w:pPr>
      <w:shd w:val="clear" w:color="auto" w:fill="7F7F7F" w:themeFill="text1" w:themeFillTint="80"/>
      <w:spacing w:after="0" w:line="240" w:lineRule="auto"/>
      <w:ind w:left="0" w:firstLine="0"/>
      <w:outlineLvl w:val="1"/>
    </w:pPr>
    <w:rPr>
      <w:color w:val="F2F2F2" w:themeColor="background1" w:themeShade="F2"/>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43A7"/>
    <w:pPr>
      <w:contextualSpacing/>
    </w:pPr>
  </w:style>
  <w:style w:type="paragraph" w:customStyle="1" w:styleId="Default">
    <w:name w:val="Default"/>
    <w:rsid w:val="00F75757"/>
    <w:pPr>
      <w:autoSpaceDE w:val="0"/>
      <w:autoSpaceDN w:val="0"/>
      <w:adjustRightInd w:val="0"/>
      <w:spacing w:after="0" w:line="240" w:lineRule="auto"/>
      <w:ind w:left="0" w:firstLine="0"/>
    </w:pPr>
    <w:rPr>
      <w:rFonts w:ascii="Calibri" w:hAnsi="Calibri" w:cs="Calibri"/>
      <w:color w:val="000000"/>
      <w:sz w:val="24"/>
      <w:szCs w:val="24"/>
    </w:rPr>
  </w:style>
  <w:style w:type="paragraph" w:styleId="Header">
    <w:name w:val="header"/>
    <w:basedOn w:val="Normal"/>
    <w:link w:val="HeaderChar"/>
    <w:uiPriority w:val="99"/>
    <w:unhideWhenUsed/>
    <w:rsid w:val="008E51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14B"/>
  </w:style>
  <w:style w:type="paragraph" w:styleId="Footer">
    <w:name w:val="footer"/>
    <w:basedOn w:val="Normal"/>
    <w:link w:val="FooterChar"/>
    <w:uiPriority w:val="99"/>
    <w:unhideWhenUsed/>
    <w:rsid w:val="008E51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14B"/>
  </w:style>
  <w:style w:type="character" w:customStyle="1" w:styleId="Heading1Char">
    <w:name w:val="Heading 1 Char"/>
    <w:basedOn w:val="DefaultParagraphFont"/>
    <w:link w:val="Heading1"/>
    <w:uiPriority w:val="9"/>
    <w:rsid w:val="004B0067"/>
    <w:rPr>
      <w:rFonts w:ascii="Calibri" w:eastAsia="Calibri" w:hAnsi="Calibri" w:cs="Calibri"/>
      <w:b/>
      <w:bCs/>
      <w:color w:val="FFFFFF" w:themeColor="background1"/>
      <w:spacing w:val="-14"/>
      <w:position w:val="2"/>
      <w:sz w:val="72"/>
      <w:szCs w:val="52"/>
    </w:rPr>
  </w:style>
  <w:style w:type="character" w:customStyle="1" w:styleId="Heading2Char">
    <w:name w:val="Heading 2 Char"/>
    <w:basedOn w:val="DefaultParagraphFont"/>
    <w:link w:val="Heading2"/>
    <w:uiPriority w:val="9"/>
    <w:rsid w:val="004B0067"/>
    <w:rPr>
      <w:color w:val="F2F2F2" w:themeColor="background1" w:themeShade="F2"/>
      <w:sz w:val="40"/>
      <w:szCs w:val="40"/>
      <w:shd w:val="clear" w:color="auto" w:fill="7F7F7F" w:themeFill="text1" w:themeFillTint="80"/>
    </w:rPr>
  </w:style>
  <w:style w:type="table" w:styleId="TableGrid">
    <w:name w:val="Table Grid"/>
    <w:basedOn w:val="TableNormal"/>
    <w:uiPriority w:val="39"/>
    <w:rsid w:val="004B0067"/>
    <w:pPr>
      <w:spacing w:after="0" w:line="240" w:lineRule="auto"/>
      <w:ind w:left="0" w:firstLine="0"/>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3432D"/>
    <w:pPr>
      <w:spacing w:after="0" w:line="240" w:lineRule="auto"/>
      <w:ind w:left="0" w:firstLine="0"/>
    </w:pPr>
  </w:style>
  <w:style w:type="character" w:styleId="CommentReference">
    <w:name w:val="annotation reference"/>
    <w:basedOn w:val="DefaultParagraphFont"/>
    <w:uiPriority w:val="99"/>
    <w:semiHidden/>
    <w:unhideWhenUsed/>
    <w:rsid w:val="0043432D"/>
    <w:rPr>
      <w:sz w:val="16"/>
      <w:szCs w:val="16"/>
    </w:rPr>
  </w:style>
  <w:style w:type="paragraph" w:styleId="CommentText">
    <w:name w:val="annotation text"/>
    <w:basedOn w:val="Normal"/>
    <w:link w:val="CommentTextChar"/>
    <w:uiPriority w:val="99"/>
    <w:unhideWhenUsed/>
    <w:rsid w:val="0043432D"/>
    <w:pPr>
      <w:spacing w:line="240" w:lineRule="auto"/>
    </w:pPr>
    <w:rPr>
      <w:sz w:val="20"/>
      <w:szCs w:val="20"/>
    </w:rPr>
  </w:style>
  <w:style w:type="character" w:customStyle="1" w:styleId="CommentTextChar">
    <w:name w:val="Comment Text Char"/>
    <w:basedOn w:val="DefaultParagraphFont"/>
    <w:link w:val="CommentText"/>
    <w:uiPriority w:val="99"/>
    <w:rsid w:val="0043432D"/>
    <w:rPr>
      <w:sz w:val="20"/>
      <w:szCs w:val="20"/>
    </w:rPr>
  </w:style>
  <w:style w:type="paragraph" w:styleId="CommentSubject">
    <w:name w:val="annotation subject"/>
    <w:basedOn w:val="CommentText"/>
    <w:next w:val="CommentText"/>
    <w:link w:val="CommentSubjectChar"/>
    <w:uiPriority w:val="99"/>
    <w:semiHidden/>
    <w:unhideWhenUsed/>
    <w:rsid w:val="0043432D"/>
    <w:rPr>
      <w:b/>
      <w:bCs/>
    </w:rPr>
  </w:style>
  <w:style w:type="character" w:customStyle="1" w:styleId="CommentSubjectChar">
    <w:name w:val="Comment Subject Char"/>
    <w:basedOn w:val="CommentTextChar"/>
    <w:link w:val="CommentSubject"/>
    <w:uiPriority w:val="99"/>
    <w:semiHidden/>
    <w:rsid w:val="0043432D"/>
    <w:rPr>
      <w:b/>
      <w:bCs/>
      <w:sz w:val="20"/>
      <w:szCs w:val="20"/>
    </w:rPr>
  </w:style>
  <w:style w:type="paragraph" w:styleId="NormalWeb">
    <w:name w:val="Normal (Web)"/>
    <w:basedOn w:val="Normal"/>
    <w:uiPriority w:val="99"/>
    <w:unhideWhenUsed/>
    <w:rsid w:val="00BA1DC0"/>
    <w:pPr>
      <w:spacing w:before="100" w:beforeAutospacing="1" w:after="100" w:afterAutospacing="1" w:line="240" w:lineRule="auto"/>
      <w:ind w:left="0" w:firstLine="0"/>
    </w:pPr>
    <w:rPr>
      <w:rFonts w:ascii="Times New Roman" w:eastAsia="Times New Roman" w:hAnsi="Times New Roman" w:cs="Times New Roman"/>
      <w:sz w:val="24"/>
      <w:szCs w:val="24"/>
    </w:rPr>
  </w:style>
  <w:style w:type="character" w:styleId="Hyperlink">
    <w:name w:val="Hyperlink"/>
    <w:rsid w:val="000A7984"/>
    <w:rPr>
      <w:color w:val="0000FF"/>
      <w:u w:val="single"/>
    </w:rPr>
  </w:style>
  <w:style w:type="paragraph" w:styleId="NoSpacing">
    <w:name w:val="No Spacing"/>
    <w:uiPriority w:val="1"/>
    <w:qFormat/>
    <w:rsid w:val="00874F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580258">
      <w:bodyDiv w:val="1"/>
      <w:marLeft w:val="0"/>
      <w:marRight w:val="0"/>
      <w:marTop w:val="0"/>
      <w:marBottom w:val="0"/>
      <w:divBdr>
        <w:top w:val="none" w:sz="0" w:space="0" w:color="auto"/>
        <w:left w:val="none" w:sz="0" w:space="0" w:color="auto"/>
        <w:bottom w:val="none" w:sz="0" w:space="0" w:color="auto"/>
        <w:right w:val="none" w:sz="0" w:space="0" w:color="auto"/>
      </w:divBdr>
    </w:div>
    <w:div w:id="287131093">
      <w:bodyDiv w:val="1"/>
      <w:marLeft w:val="0"/>
      <w:marRight w:val="0"/>
      <w:marTop w:val="0"/>
      <w:marBottom w:val="0"/>
      <w:divBdr>
        <w:top w:val="none" w:sz="0" w:space="0" w:color="auto"/>
        <w:left w:val="none" w:sz="0" w:space="0" w:color="auto"/>
        <w:bottom w:val="none" w:sz="0" w:space="0" w:color="auto"/>
        <w:right w:val="none" w:sz="0" w:space="0" w:color="auto"/>
      </w:divBdr>
    </w:div>
    <w:div w:id="148264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www.nationalserviceresources.org/node/17592" TargetMode="External"/><Relationship Id="rId4" Type="http://schemas.openxmlformats.org/officeDocument/2006/relationships/settings" Target="settings.xml"/><Relationship Id="rId9" Type="http://schemas.openxmlformats.org/officeDocument/2006/relationships/hyperlink" Target="https://haiweb.org/publication/measuring-medicine-prices-availability-affordability-and-price-components-2nd-ed/"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109843A62F9E64082D475D70A5816C1" ma:contentTypeVersion="12" ma:contentTypeDescription="Create a new document." ma:contentTypeScope="" ma:versionID="02fc37d3fe4fec728450cac8296d5c7e">
  <xsd:schema xmlns:xsd="http://www.w3.org/2001/XMLSchema" xmlns:xs="http://www.w3.org/2001/XMLSchema" xmlns:p="http://schemas.microsoft.com/office/2006/metadata/properties" xmlns:ns2="668e480f-ec8f-4652-b656-ed35dea04eb6" xmlns:ns3="0d841d9d-80e8-4c3c-b18e-8392ca19111e" targetNamespace="http://schemas.microsoft.com/office/2006/metadata/properties" ma:root="true" ma:fieldsID="476d1711abd7a126e9241a4be089a77e" ns2:_="" ns3:_="">
    <xsd:import namespace="668e480f-ec8f-4652-b656-ed35dea04eb6"/>
    <xsd:import namespace="0d841d9d-80e8-4c3c-b18e-8392ca1911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e480f-ec8f-4652-b656-ed35dea04e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841d9d-80e8-4c3c-b18e-8392ca1911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DC70E5-654E-43FD-8AB1-73E10A077B0A}">
  <ds:schemaRefs>
    <ds:schemaRef ds:uri="http://schemas.openxmlformats.org/officeDocument/2006/bibliography"/>
  </ds:schemaRefs>
</ds:datastoreItem>
</file>

<file path=customXml/itemProps2.xml><?xml version="1.0" encoding="utf-8"?>
<ds:datastoreItem xmlns:ds="http://schemas.openxmlformats.org/officeDocument/2006/customXml" ds:itemID="{43CC5951-396F-4FE4-A406-AC03F7DF55E7}"/>
</file>

<file path=customXml/itemProps3.xml><?xml version="1.0" encoding="utf-8"?>
<ds:datastoreItem xmlns:ds="http://schemas.openxmlformats.org/officeDocument/2006/customXml" ds:itemID="{D77F2328-15B0-4785-B0A3-CA461BD37442}"/>
</file>

<file path=customXml/itemProps4.xml><?xml version="1.0" encoding="utf-8"?>
<ds:datastoreItem xmlns:ds="http://schemas.openxmlformats.org/officeDocument/2006/customXml" ds:itemID="{F7579094-3638-4A86-8B3A-0EEC7B8AE011}"/>
</file>

<file path=docProps/app.xml><?xml version="1.0" encoding="utf-8"?>
<Properties xmlns="http://schemas.openxmlformats.org/officeDocument/2006/extended-properties" xmlns:vt="http://schemas.openxmlformats.org/officeDocument/2006/docPropsVTypes">
  <Template>Normal</Template>
  <TotalTime>0</TotalTime>
  <Pages>1</Pages>
  <Words>487</Words>
  <Characters>2727</Characters>
  <Application>Microsoft Office Word</Application>
  <DocSecurity>0</DocSecurity>
  <Lines>118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2022-03-31T06:05:00Z</dcterms:created>
  <dcterms:modified xsi:type="dcterms:W3CDTF">2022-03-31T06:05:00Z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0x0101008109843A62F9E64082D475D70A5816C1</vt:lpwstr>
  </property>
</Properties>
</file>