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43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9734"/>
        <w:gridCol w:w="4645"/>
      </w:tblGrid>
      <w:tr w:rsidR="00A53243" w:rsidTr="001F08B4" w14:paraId="0CC9368B" w14:textId="77777777">
        <w:trPr>
          <w:trHeight w:val="1692"/>
        </w:trPr>
        <w:tc>
          <w:tcPr>
            <w:tcW w:w="9734" w:type="dxa"/>
            <w:shd w:val="clear" w:color="auto" w:fill="FF7600"/>
            <w:vAlign w:val="center"/>
          </w:tcPr>
          <w:p w:rsidRPr="00EC5F4A" w:rsidR="00481ED8" w:rsidP="00481ED8" w:rsidRDefault="00481ED8" w14:paraId="0452C813" w14:textId="7D73FA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92"/>
                <w:szCs w:val="92"/>
              </w:rPr>
            </w:pPr>
            <w:r w:rsidRPr="00EC5F4A">
              <w:rPr>
                <w:rFonts w:cstheme="minorHAnsi"/>
                <w:b/>
                <w:bCs/>
                <w:color w:val="FFFFFF" w:themeColor="background1"/>
                <w:sz w:val="92"/>
                <w:szCs w:val="92"/>
              </w:rPr>
              <w:t xml:space="preserve">Dissemination </w:t>
            </w:r>
            <w:r w:rsidRPr="00EC5F4A" w:rsidR="00EC5F4A">
              <w:rPr>
                <w:rFonts w:cstheme="minorHAnsi"/>
                <w:b/>
                <w:bCs/>
                <w:color w:val="FFFFFF" w:themeColor="background1"/>
                <w:sz w:val="92"/>
                <w:szCs w:val="92"/>
              </w:rPr>
              <w:t>Overview</w:t>
            </w:r>
          </w:p>
          <w:p w:rsidRPr="00C72197" w:rsidR="00A53243" w:rsidP="00481ED8" w:rsidRDefault="00A53243" w14:paraId="62ECB7A6" w14:textId="77777777">
            <w:pPr>
              <w:jc w:val="center"/>
              <w:rPr>
                <w:szCs w:val="72"/>
              </w:rPr>
            </w:pPr>
          </w:p>
        </w:tc>
        <w:tc>
          <w:tcPr>
            <w:tcW w:w="4645" w:type="dxa"/>
            <w:shd w:val="clear" w:color="auto" w:fill="FF7600"/>
            <w:vAlign w:val="center"/>
          </w:tcPr>
          <w:p w:rsidR="00A53243" w:rsidP="00E050C6" w:rsidRDefault="00A53243" w14:paraId="2E4E4C13" w14:textId="7777777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E3E2A78" wp14:editId="51F00B5E">
                  <wp:extent cx="2040046" cy="808829"/>
                  <wp:effectExtent l="0" t="0" r="0" b="4445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92" cy="83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2AD7" w:rsidP="4D6EA05D" w:rsidRDefault="00AD2AD7" w14:paraId="661543F1" w14:textId="77777777"/>
    <w:p w:rsidR="002E78E4" w:rsidP="4D6EA05D" w:rsidRDefault="00B2551A" w14:paraId="2BB2F472" w14:textId="0003C1BA">
      <w:r w:rsidR="00B2551A">
        <w:rPr/>
        <w:t>In our “</w:t>
      </w:r>
      <w:hyperlink r:id="Rb93a7af01ec5470f">
        <w:r w:rsidRPr="71C624BC" w:rsidR="00B2551A">
          <w:rPr>
            <w:rStyle w:val="Hyperlink"/>
          </w:rPr>
          <w:t>Disseminati</w:t>
        </w:r>
        <w:r w:rsidRPr="71C624BC" w:rsidR="00B2551A">
          <w:rPr>
            <w:rStyle w:val="Hyperlink"/>
          </w:rPr>
          <w:t>n</w:t>
        </w:r>
        <w:r w:rsidRPr="71C624BC" w:rsidR="00B2551A">
          <w:rPr>
            <w:rStyle w:val="Hyperlink"/>
          </w:rPr>
          <w:t xml:space="preserve">g and </w:t>
        </w:r>
        <w:r w:rsidRPr="71C624BC" w:rsidR="00AF0EA2">
          <w:rPr>
            <w:rStyle w:val="Hyperlink"/>
          </w:rPr>
          <w:t>Sharing Evaluation Results</w:t>
        </w:r>
      </w:hyperlink>
      <w:r w:rsidR="00AF0EA2">
        <w:rPr/>
        <w:t xml:space="preserve">” </w:t>
      </w:r>
      <w:r w:rsidR="00AF0EA2">
        <w:rPr/>
        <w:t>webinar</w:t>
      </w:r>
      <w:r w:rsidR="00AF0EA2">
        <w:rPr/>
        <w:t xml:space="preserve">, we </w:t>
      </w:r>
      <w:r w:rsidR="00AD2AD7">
        <w:rPr/>
        <w:t>talked about the types</w:t>
      </w:r>
      <w:r w:rsidR="008B32FD">
        <w:rPr/>
        <w:t xml:space="preserve"> of dissemination.</w:t>
      </w:r>
      <w:r w:rsidR="00AD2AD7">
        <w:rPr/>
        <w:t xml:space="preserve"> </w:t>
      </w:r>
      <w:r w:rsidR="5EE4178F">
        <w:rPr/>
        <w:t>T</w:t>
      </w:r>
      <w:r w:rsidR="06558A86">
        <w:rPr/>
        <w:t>h</w:t>
      </w:r>
      <w:r w:rsidR="0E36A200">
        <w:rPr/>
        <w:t>is</w:t>
      </w:r>
      <w:r w:rsidR="06558A86">
        <w:rPr/>
        <w:t xml:space="preserve"> table </w:t>
      </w:r>
      <w:r w:rsidR="20ED2B2C">
        <w:rPr/>
        <w:t>lists out the types of dissemination</w:t>
      </w:r>
      <w:r w:rsidR="004746E5">
        <w:rPr/>
        <w:t xml:space="preserve"> </w:t>
      </w:r>
      <w:r w:rsidR="50764E45">
        <w:rPr/>
        <w:t>format</w:t>
      </w:r>
      <w:r w:rsidR="004746E5">
        <w:rPr/>
        <w:t xml:space="preserve">, </w:t>
      </w:r>
      <w:r w:rsidR="7C657651">
        <w:rPr/>
        <w:t>features of each type</w:t>
      </w:r>
      <w:r w:rsidR="004746E5">
        <w:rPr/>
        <w:t>,</w:t>
      </w:r>
      <w:r w:rsidR="498A4790">
        <w:rPr/>
        <w:t xml:space="preserve"> who th</w:t>
      </w:r>
      <w:r w:rsidR="53ADEF07">
        <w:rPr/>
        <w:t>e</w:t>
      </w:r>
      <w:r w:rsidR="3B0A5B83">
        <w:rPr/>
        <w:t>se formats apply to,</w:t>
      </w:r>
      <w:r w:rsidR="498A4790">
        <w:rPr/>
        <w:t xml:space="preserve"> </w:t>
      </w:r>
      <w:r w:rsidR="275C6CB0">
        <w:rPr/>
        <w:t>the</w:t>
      </w:r>
      <w:r w:rsidR="004746E5">
        <w:rPr/>
        <w:t xml:space="preserve"> context of when to </w:t>
      </w:r>
      <w:r w:rsidR="004746E5">
        <w:rPr/>
        <w:t>disseminate</w:t>
      </w:r>
      <w:r w:rsidR="004746E5">
        <w:rPr/>
        <w:t xml:space="preserve">, and </w:t>
      </w:r>
      <w:r w:rsidR="4170F1E7">
        <w:rPr/>
        <w:t>resources to help develop the</w:t>
      </w:r>
      <w:r w:rsidR="51D561E1">
        <w:rPr/>
        <w:t>se</w:t>
      </w:r>
      <w:r w:rsidR="4170F1E7">
        <w:rPr/>
        <w:t xml:space="preserve"> materials. </w:t>
      </w:r>
    </w:p>
    <w:tbl>
      <w:tblPr>
        <w:tblStyle w:val="TableGrid"/>
        <w:tblW w:w="1413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635"/>
        <w:gridCol w:w="5295"/>
        <w:gridCol w:w="2250"/>
        <w:gridCol w:w="2402"/>
        <w:gridCol w:w="2548"/>
      </w:tblGrid>
      <w:tr w:rsidR="004746E5" w:rsidTr="1EEE136C" w14:paraId="3B5EF202" w14:textId="77777777">
        <w:trPr>
          <w:trHeight w:val="602"/>
        </w:trPr>
        <w:tc>
          <w:tcPr>
            <w:tcW w:w="1635" w:type="dxa"/>
          </w:tcPr>
          <w:p w:rsidR="004746E5" w:rsidP="00626418" w:rsidRDefault="004746E5" w14:paraId="21F796FD" w14:textId="0A20D542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Dissemination </w:t>
            </w:r>
            <w:r w:rsidR="000162E6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Format</w:t>
            </w:r>
          </w:p>
        </w:tc>
        <w:tc>
          <w:tcPr>
            <w:tcW w:w="5295" w:type="dxa"/>
          </w:tcPr>
          <w:p w:rsidR="004746E5" w:rsidP="00626418" w:rsidRDefault="004746E5" w14:paraId="32682773" w14:textId="77777777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Features</w:t>
            </w:r>
          </w:p>
        </w:tc>
        <w:tc>
          <w:tcPr>
            <w:tcW w:w="2250" w:type="dxa"/>
          </w:tcPr>
          <w:p w:rsidR="004746E5" w:rsidP="00626418" w:rsidRDefault="004746E5" w14:paraId="60BE41D0" w14:textId="01379D2F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4594052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Who </w:t>
            </w:r>
            <w:r w:rsidRPr="04594052" w:rsidR="6E9FA8BB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does </w:t>
            </w:r>
            <w:r w:rsidRPr="04594052">
              <w:rPr>
                <w:rFonts w:ascii="Calibri" w:hAnsi="Calibri" w:eastAsia="Calibri" w:cs="Calibri"/>
                <w:b/>
                <w:bCs/>
                <w:color w:val="000000" w:themeColor="text1"/>
              </w:rPr>
              <w:t>this most apply to?</w:t>
            </w:r>
          </w:p>
        </w:tc>
        <w:tc>
          <w:tcPr>
            <w:tcW w:w="2402" w:type="dxa"/>
          </w:tcPr>
          <w:p w:rsidR="004746E5" w:rsidP="00626418" w:rsidRDefault="004746E5" w14:paraId="7DEFBCFF" w14:textId="77777777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Context of when to disseminate?</w:t>
            </w:r>
          </w:p>
        </w:tc>
        <w:tc>
          <w:tcPr>
            <w:tcW w:w="2548" w:type="dxa"/>
          </w:tcPr>
          <w:p w:rsidR="004746E5" w:rsidP="00626418" w:rsidRDefault="000162E6" w14:paraId="71328D2D" w14:textId="2BF27824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Examples &amp; </w:t>
            </w:r>
            <w:r w:rsidR="004746E5">
              <w:rPr>
                <w:rFonts w:ascii="Calibri" w:hAnsi="Calibri" w:eastAsia="Calibri" w:cs="Calibri"/>
                <w:b/>
                <w:bCs/>
                <w:color w:val="000000" w:themeColor="text1"/>
              </w:rPr>
              <w:t>Resources</w:t>
            </w:r>
          </w:p>
        </w:tc>
      </w:tr>
      <w:tr w:rsidR="004746E5" w:rsidTr="1EEE136C" w14:paraId="714DBCB0" w14:textId="77777777">
        <w:trPr>
          <w:trHeight w:val="3158"/>
        </w:trPr>
        <w:tc>
          <w:tcPr>
            <w:tcW w:w="1635" w:type="dxa"/>
          </w:tcPr>
          <w:p w:rsidR="004746E5" w:rsidP="00626418" w:rsidRDefault="004746E5" w14:paraId="4476F78A" w14:textId="77777777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Fact sheet</w:t>
            </w:r>
          </w:p>
        </w:tc>
        <w:tc>
          <w:tcPr>
            <w:tcW w:w="5295" w:type="dxa"/>
          </w:tcPr>
          <w:p w:rsidR="004746E5" w:rsidP="00D63059" w:rsidRDefault="000872A0" w14:paraId="2303478B" w14:textId="5A7C8EB5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proofErr w:type="gramStart"/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-2 page</w:t>
            </w:r>
            <w:proofErr w:type="gramEnd"/>
            <w:r w:rsidRPr="04594052" w:rsidR="004746E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summary of important findings from evaluation activity; could include statistics, </w:t>
            </w:r>
            <w:r w:rsidR="009861D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data visualizations</w:t>
            </w:r>
            <w:r w:rsidRPr="04594052" w:rsidR="004746E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, </w:t>
            </w:r>
            <w:r w:rsidR="006C6D3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and </w:t>
            </w:r>
            <w:r w:rsidRPr="04594052" w:rsidR="004746E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brief talking points</w:t>
            </w:r>
          </w:p>
          <w:p w:rsidRPr="0050315D" w:rsidR="004746E5" w:rsidP="00D63059" w:rsidRDefault="004746E5" w14:paraId="4FDC743D" w14:textId="7777777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Concise but gives enough information about the topic(s) </w:t>
            </w:r>
          </w:p>
        </w:tc>
        <w:tc>
          <w:tcPr>
            <w:tcW w:w="2250" w:type="dxa"/>
          </w:tcPr>
          <w:p w:rsidR="004746E5" w:rsidP="00D2711B" w:rsidRDefault="004746E5" w14:paraId="576432B5" w14:textId="7777777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Policymakers</w:t>
            </w:r>
          </w:p>
          <w:p w:rsidR="004746E5" w:rsidP="00D2711B" w:rsidRDefault="004746E5" w14:paraId="39FA2ED5" w14:textId="7777777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Coalition members</w:t>
            </w:r>
          </w:p>
          <w:p w:rsidR="004746E5" w:rsidP="00D2711B" w:rsidRDefault="004746E5" w14:paraId="4DE37C7E" w14:textId="4E67D995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Data </w:t>
            </w:r>
            <w:r w:rsidR="0002148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sources</w:t>
            </w:r>
          </w:p>
          <w:p w:rsidRPr="00D2711B" w:rsidR="004746E5" w:rsidP="00D2711B" w:rsidRDefault="004746E5" w14:paraId="2B2BC2D2" w14:textId="77777777">
            <w:pPr>
              <w:spacing w:after="12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402" w:type="dxa"/>
          </w:tcPr>
          <w:p w:rsidRPr="003224FF" w:rsidR="004746E5" w:rsidP="00626418" w:rsidRDefault="004746E5" w14:paraId="48DDABFC" w14:textId="77777777">
            <w:pPr>
              <w:spacing w:after="12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224F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Typically disseminated after data has been collected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during a </w:t>
            </w:r>
            <w:r w:rsidRPr="003224F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policy campaign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or intervention</w:t>
            </w:r>
          </w:p>
        </w:tc>
        <w:tc>
          <w:tcPr>
            <w:tcW w:w="2548" w:type="dxa"/>
          </w:tcPr>
          <w:p w:rsidR="00632860" w:rsidP="00626418" w:rsidRDefault="001A11E6" w14:paraId="5E8D120A" w14:textId="18C43392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22CCE5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See</w:t>
            </w:r>
            <w:r w:rsidRPr="622CCE57" w:rsidR="005A732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Partners </w:t>
            </w:r>
            <w:r w:rsidRPr="622CCE57" w:rsidR="00A5010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Media Library and </w:t>
            </w:r>
            <w:r w:rsidRPr="622CCE5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Public Relations page </w:t>
            </w:r>
            <w:r w:rsidRPr="622CCE57" w:rsidR="00A5010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(password protected) </w:t>
            </w:r>
            <w:hyperlink r:id="rId7">
              <w:r w:rsidRPr="622CCE57" w:rsidR="00A50109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https://www.tcspartners.org/Campaigns/Media/index.cfm</w:t>
              </w:r>
            </w:hyperlink>
            <w:r w:rsidRPr="622CCE57" w:rsidR="3FC2A7B6">
              <w:rPr>
                <w:rFonts w:ascii="Calibri" w:hAnsi="Calibri" w:eastAsia="Calibri" w:cs="Calibri"/>
                <w:sz w:val="18"/>
                <w:szCs w:val="18"/>
              </w:rPr>
              <w:t xml:space="preserve"> for examples of educational and policy-related fact </w:t>
            </w:r>
            <w:proofErr w:type="gramStart"/>
            <w:r w:rsidRPr="622CCE57" w:rsidR="3FC2A7B6">
              <w:rPr>
                <w:rFonts w:ascii="Calibri" w:hAnsi="Calibri" w:eastAsia="Calibri" w:cs="Calibri"/>
                <w:sz w:val="18"/>
                <w:szCs w:val="18"/>
              </w:rPr>
              <w:t>sheets</w:t>
            </w:r>
            <w:proofErr w:type="gramEnd"/>
          </w:p>
          <w:p w:rsidR="00632860" w:rsidP="00626418" w:rsidRDefault="00632860" w14:paraId="1E3861C1" w14:textId="77777777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  <w:p w:rsidRPr="105EC402" w:rsidR="004746E5" w:rsidP="00197F62" w:rsidRDefault="00A564A3" w14:paraId="7B1BB723" w14:textId="6DC0ECF9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Rover Library has samples from projects</w:t>
            </w:r>
            <w:r w:rsidR="0007068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(password protected) at </w:t>
            </w:r>
            <w:r w:rsidRPr="0007068C" w:rsidR="0007068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https://otis.catcp.org</w:t>
            </w:r>
            <w:r w:rsidR="00A5010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/</w:t>
            </w:r>
          </w:p>
        </w:tc>
      </w:tr>
      <w:tr w:rsidR="004746E5" w:rsidTr="1EEE136C" w14:paraId="63C14F0B" w14:textId="77777777">
        <w:tc>
          <w:tcPr>
            <w:tcW w:w="1635" w:type="dxa"/>
          </w:tcPr>
          <w:p w:rsidR="004746E5" w:rsidP="00626418" w:rsidRDefault="004746E5" w14:paraId="4E4C9942" w14:textId="77777777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Social media post</w:t>
            </w:r>
          </w:p>
        </w:tc>
        <w:tc>
          <w:tcPr>
            <w:tcW w:w="5295" w:type="dxa"/>
          </w:tcPr>
          <w:p w:rsidR="004746E5" w:rsidP="00D2711B" w:rsidRDefault="000872A0" w14:paraId="6BA0536A" w14:textId="5C6AB769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Potential to have g</w:t>
            </w:r>
            <w:r w:rsidR="004746E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reater audience </w:t>
            </w:r>
            <w:proofErr w:type="gramStart"/>
            <w:r w:rsidR="004746E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reach</w:t>
            </w:r>
            <w:proofErr w:type="gramEnd"/>
            <w:r w:rsidR="004746E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="004746E5" w:rsidP="00D2711B" w:rsidRDefault="004746E5" w14:paraId="00ACEC91" w14:textId="77777777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Can track </w:t>
            </w:r>
            <w:proofErr w:type="gram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engagement</w:t>
            </w:r>
            <w:proofErr w:type="gramEnd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="004746E5" w:rsidP="00D2711B" w:rsidRDefault="004746E5" w14:paraId="04FC2F40" w14:textId="77777777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Could be an educational resource to </w:t>
            </w:r>
            <w:proofErr w:type="gram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public</w:t>
            </w:r>
            <w:proofErr w:type="gramEnd"/>
          </w:p>
          <w:p w:rsidRPr="105EC402" w:rsidR="004746E5" w:rsidP="00D2711B" w:rsidRDefault="004746E5" w14:paraId="59AD630C" w14:textId="77777777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Can be targeted to specific social media groups</w:t>
            </w:r>
          </w:p>
        </w:tc>
        <w:tc>
          <w:tcPr>
            <w:tcW w:w="2250" w:type="dxa"/>
          </w:tcPr>
          <w:p w:rsidR="004746E5" w:rsidP="00D2711B" w:rsidRDefault="00B510A8" w14:paraId="6BBD9C8E" w14:textId="132B8C64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General</w:t>
            </w:r>
            <w:r w:rsidR="00F94DB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public</w:t>
            </w:r>
          </w:p>
          <w:p w:rsidR="004746E5" w:rsidP="00D2711B" w:rsidRDefault="004746E5" w14:paraId="642BE254" w14:textId="77777777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Coalition members (social media page/group)</w:t>
            </w:r>
          </w:p>
          <w:p w:rsidRPr="105EC402" w:rsidR="004746E5" w:rsidP="622CCE57" w:rsidRDefault="004746E5" w14:paraId="02969C57" w14:textId="77777777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ind w:left="158" w:hanging="158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22CCE5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Policymakers</w:t>
            </w:r>
          </w:p>
        </w:tc>
        <w:tc>
          <w:tcPr>
            <w:tcW w:w="2402" w:type="dxa"/>
          </w:tcPr>
          <w:p w:rsidRPr="105EC402" w:rsidR="004746E5" w:rsidP="00626418" w:rsidRDefault="004746E5" w14:paraId="66F877B1" w14:textId="77777777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Part of an ongoing social media calendar to communicate newsworthy posts such as relevant findings from a campaign or an intervention</w:t>
            </w:r>
          </w:p>
        </w:tc>
        <w:tc>
          <w:tcPr>
            <w:tcW w:w="2548" w:type="dxa"/>
          </w:tcPr>
          <w:p w:rsidRPr="105EC402" w:rsidR="004746E5" w:rsidP="622CCE57" w:rsidRDefault="663E74C8" w14:paraId="50C5CB48" w14:textId="154E9A89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4B5E0739">
              <w:rPr>
                <w:rFonts w:ascii="Calibri" w:hAnsi="Calibri" w:eastAsia="Calibri" w:cs="Calibri"/>
                <w:sz w:val="18"/>
                <w:szCs w:val="18"/>
              </w:rPr>
              <w:t>The Tobacco Education Clearinghouse of CA (TECC) offer design services and resources for developing social media conten</w:t>
            </w:r>
            <w:r w:rsidRPr="4B5E0739" w:rsidR="39B25E70">
              <w:rPr>
                <w:rFonts w:ascii="Calibri" w:hAnsi="Calibri" w:eastAsia="Calibri" w:cs="Calibri"/>
                <w:sz w:val="18"/>
                <w:szCs w:val="18"/>
              </w:rPr>
              <w:t>t here</w:t>
            </w:r>
            <w:r w:rsidRPr="4B5E0739">
              <w:rPr>
                <w:rFonts w:ascii="Calibri" w:hAnsi="Calibri" w:eastAsia="Calibri" w:cs="Calibri"/>
                <w:sz w:val="18"/>
                <w:szCs w:val="18"/>
              </w:rPr>
              <w:t xml:space="preserve">: </w:t>
            </w:r>
            <w:hyperlink r:id="rId8">
              <w:r w:rsidRPr="4B5E0739" w:rsidR="0A389AF5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https://www.tecc.org/social-media-toolkit/</w:t>
              </w:r>
            </w:hyperlink>
          </w:p>
          <w:p w:rsidRPr="105EC402" w:rsidR="004746E5" w:rsidP="00626418" w:rsidRDefault="004746E5" w14:paraId="6514A315" w14:textId="755C4418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  <w:tr w:rsidR="004746E5" w:rsidTr="1EEE136C" w14:paraId="7D340092" w14:textId="77777777">
        <w:tc>
          <w:tcPr>
            <w:tcW w:w="1635" w:type="dxa"/>
          </w:tcPr>
          <w:p w:rsidR="004746E5" w:rsidP="00626418" w:rsidRDefault="004746E5" w14:paraId="0A0240DA" w14:textId="77777777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BCA87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Evaluation   report</w:t>
            </w:r>
          </w:p>
        </w:tc>
        <w:tc>
          <w:tcPr>
            <w:tcW w:w="5295" w:type="dxa"/>
          </w:tcPr>
          <w:p w:rsidRPr="00C43176" w:rsidR="004746E5" w:rsidP="00D2711B" w:rsidRDefault="004746E5" w14:paraId="137E953C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Technical report with in-depth summary of background, methods, and findings</w:t>
            </w:r>
            <w:r w:rsidRPr="00C43176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0D7F1F" w:rsidP="006C6D3A" w:rsidRDefault="000D7F1F" w14:paraId="3CDDC30E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Project staff (organizational history)</w:t>
            </w:r>
          </w:p>
          <w:p w:rsidRPr="105EC402" w:rsidR="004746E5" w:rsidP="00D2711B" w:rsidRDefault="004746E5" w14:paraId="4E9FB8E1" w14:textId="2B64785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Coalition members</w:t>
            </w:r>
          </w:p>
          <w:p w:rsidR="004746E5" w:rsidP="006C6D3A" w:rsidRDefault="26F51368" w14:paraId="3E489974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Funders</w:t>
            </w:r>
          </w:p>
          <w:p w:rsidRPr="00D2711B" w:rsidR="00117FDD" w:rsidP="00D2711B" w:rsidRDefault="00117FDD" w14:paraId="04E3EC80" w14:textId="11D1A972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Academic researchers </w:t>
            </w:r>
          </w:p>
        </w:tc>
        <w:tc>
          <w:tcPr>
            <w:tcW w:w="2402" w:type="dxa"/>
          </w:tcPr>
          <w:p w:rsidRPr="105EC402" w:rsidR="004746E5" w:rsidP="00626418" w:rsidRDefault="004746E5" w14:paraId="36F4A5EB" w14:textId="27C8A1C9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22CCE5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Usually disseminated after substantial efforts to pursue policy objective</w:t>
            </w:r>
            <w:r w:rsidRPr="622CCE57" w:rsidR="41A255A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(s)</w:t>
            </w:r>
            <w:r w:rsidRPr="622CCE5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; serves as a deliverable to culminate the completion of policy activity(s), a campaign, etc</w:t>
            </w:r>
            <w:r w:rsidRPr="622CCE57" w:rsidR="00117FDD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48" w:type="dxa"/>
          </w:tcPr>
          <w:p w:rsidRPr="105EC402" w:rsidR="004746E5" w:rsidP="04594052" w:rsidRDefault="00000000" w14:paraId="7CAE230C" w14:textId="638DBC48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hyperlink r:id="rId9">
              <w:r w:rsidRPr="1EEE136C" w:rsidR="6B5E076A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https://t</w:t>
              </w:r>
              <w:r w:rsidRPr="1EEE136C" w:rsidR="2E32B3D8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obaccoeval</w:t>
              </w:r>
              <w:r w:rsidRPr="1EEE136C" w:rsidR="6B5E076A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.ucdavis.edu/report-results</w:t>
              </w:r>
            </w:hyperlink>
          </w:p>
          <w:p w:rsidRPr="105EC402" w:rsidR="004746E5" w:rsidP="00626418" w:rsidRDefault="004746E5" w14:paraId="628E03C8" w14:textId="34A540CA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  <w:tr w:rsidR="004746E5" w:rsidTr="1EEE136C" w14:paraId="3AA785DA" w14:textId="77777777">
        <w:trPr>
          <w:trHeight w:val="260"/>
        </w:trPr>
        <w:tc>
          <w:tcPr>
            <w:tcW w:w="1635" w:type="dxa"/>
          </w:tcPr>
          <w:p w:rsidR="004746E5" w:rsidP="00626418" w:rsidRDefault="004746E5" w14:paraId="4F06D6FA" w14:textId="0E8CF588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lastRenderedPageBreak/>
              <w:t>Article</w:t>
            </w:r>
            <w:r w:rsidR="001F75D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(earned &amp; paid media like press release, op-ed, </w:t>
            </w:r>
            <w:proofErr w:type="spellStart"/>
            <w:r w:rsidR="001F75D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etc</w:t>
            </w:r>
            <w:proofErr w:type="spellEnd"/>
            <w:r w:rsidR="001F75D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95" w:type="dxa"/>
          </w:tcPr>
          <w:p w:rsidR="004746E5" w:rsidP="00D2711B" w:rsidRDefault="004746E5" w14:paraId="54720B10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Can be strategically timed to create a media </w:t>
            </w:r>
            <w:proofErr w:type="gram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frenzy</w:t>
            </w:r>
            <w:proofErr w:type="gramEnd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Pr="105EC402" w:rsidR="004746E5" w:rsidP="00D2711B" w:rsidRDefault="004746E5" w14:paraId="361F4146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Sensationalize important findings from the evaluation</w:t>
            </w:r>
          </w:p>
        </w:tc>
        <w:tc>
          <w:tcPr>
            <w:tcW w:w="2250" w:type="dxa"/>
          </w:tcPr>
          <w:p w:rsidR="004746E5" w:rsidP="00D2711B" w:rsidRDefault="004746E5" w14:paraId="6817F9D0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Community members</w:t>
            </w:r>
          </w:p>
          <w:p w:rsidR="004746E5" w:rsidP="00D2711B" w:rsidRDefault="004746E5" w14:paraId="7AD7832A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Policymakers</w:t>
            </w:r>
          </w:p>
          <w:p w:rsidRPr="105EC402" w:rsidR="004746E5" w:rsidP="00D2711B" w:rsidRDefault="004746E5" w14:paraId="38CFE3F6" w14:textId="77777777">
            <w:pPr>
              <w:pStyle w:val="ListParagraph"/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402" w:type="dxa"/>
          </w:tcPr>
          <w:p w:rsidRPr="000F36C3" w:rsidR="004746E5" w:rsidP="00626418" w:rsidRDefault="004746E5" w14:paraId="1A691808" w14:textId="77777777">
            <w:pPr>
              <w:spacing w:after="12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Disseminated in collaboration with a news outlet typically after the end of a campaign, post adoption, or start of implementation of a policy </w:t>
            </w:r>
          </w:p>
        </w:tc>
        <w:tc>
          <w:tcPr>
            <w:tcW w:w="2548" w:type="dxa"/>
          </w:tcPr>
          <w:p w:rsidRPr="105EC402" w:rsidR="004746E5" w:rsidP="622CCE57" w:rsidRDefault="79C6572C" w14:paraId="48DF2DA5" w14:textId="7D044CEE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22CCE57">
              <w:rPr>
                <w:rFonts w:ascii="Calibri" w:hAnsi="Calibri" w:eastAsia="Calibri" w:cs="Calibri"/>
                <w:sz w:val="18"/>
                <w:szCs w:val="18"/>
              </w:rPr>
              <w:t>See</w:t>
            </w:r>
            <w:r w:rsidRPr="622CCE57" w:rsidR="45C76A7E">
              <w:rPr>
                <w:rFonts w:ascii="Calibri" w:hAnsi="Calibri" w:eastAsia="Calibri" w:cs="Calibri"/>
                <w:sz w:val="18"/>
                <w:szCs w:val="18"/>
              </w:rPr>
              <w:t xml:space="preserve"> Partners Media Library and Public Relations page </w:t>
            </w:r>
            <w:r w:rsidRPr="622CCE57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hyperlink r:id="rId10">
              <w:r w:rsidRPr="622CCE57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https://www.tcspartners.org/Campaigns/Media/PR.cfm</w:t>
              </w:r>
            </w:hyperlink>
            <w:r w:rsidRPr="622CCE57">
              <w:rPr>
                <w:rFonts w:ascii="Calibri" w:hAnsi="Calibri" w:eastAsia="Calibri" w:cs="Calibri"/>
                <w:sz w:val="18"/>
                <w:szCs w:val="18"/>
              </w:rPr>
              <w:t xml:space="preserve"> for examples of articles and other media </w:t>
            </w:r>
            <w:proofErr w:type="gramStart"/>
            <w:r w:rsidRPr="622CCE57">
              <w:rPr>
                <w:rFonts w:ascii="Calibri" w:hAnsi="Calibri" w:eastAsia="Calibri" w:cs="Calibri"/>
                <w:sz w:val="18"/>
                <w:szCs w:val="18"/>
              </w:rPr>
              <w:t>content</w:t>
            </w:r>
            <w:proofErr w:type="gramEnd"/>
          </w:p>
          <w:p w:rsidRPr="105EC402" w:rsidR="004746E5" w:rsidP="00626418" w:rsidRDefault="004746E5" w14:paraId="4CCB9F35" w14:textId="68543972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  <w:tr w:rsidR="004746E5" w:rsidTr="1EEE136C" w14:paraId="256D3300" w14:textId="77777777">
        <w:trPr>
          <w:trHeight w:val="332"/>
        </w:trPr>
        <w:tc>
          <w:tcPr>
            <w:tcW w:w="1635" w:type="dxa"/>
          </w:tcPr>
          <w:p w:rsidR="004746E5" w:rsidP="00626418" w:rsidRDefault="004746E5" w14:paraId="47C6CE9E" w14:textId="77777777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Presentation</w:t>
            </w:r>
          </w:p>
        </w:tc>
        <w:tc>
          <w:tcPr>
            <w:tcW w:w="5295" w:type="dxa"/>
          </w:tcPr>
          <w:p w:rsidR="004746E5" w:rsidP="00D2711B" w:rsidRDefault="004746E5" w14:paraId="30F155BF" w14:textId="37CF4C33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Deliver information and findings to live audience while interacting with them </w:t>
            </w:r>
            <w:r w:rsidRPr="04594052" w:rsidR="47A2A0C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(more in-depth info) </w:t>
            </w:r>
          </w:p>
          <w:p w:rsidRPr="105EC402" w:rsidR="004746E5" w:rsidP="00D2711B" w:rsidRDefault="004746E5" w14:paraId="507DF3ED" w14:textId="2C7ACC1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Could enable swift action among </w:t>
            </w:r>
            <w:proofErr w:type="gramStart"/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audience</w:t>
            </w:r>
            <w:proofErr w:type="gramEnd"/>
          </w:p>
          <w:p w:rsidRPr="105EC402" w:rsidR="004746E5" w:rsidP="00D2711B" w:rsidRDefault="2BEF5331" w14:paraId="35734BC4" w14:textId="1399C66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173" w:hanging="173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Opportunity for feedback/exchange of info</w:t>
            </w:r>
          </w:p>
        </w:tc>
        <w:tc>
          <w:tcPr>
            <w:tcW w:w="2250" w:type="dxa"/>
          </w:tcPr>
          <w:p w:rsidR="004746E5" w:rsidP="00D2711B" w:rsidRDefault="004746E5" w14:paraId="232E6DB4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Coalition members</w:t>
            </w:r>
          </w:p>
          <w:p w:rsidR="004746E5" w:rsidP="00D2711B" w:rsidRDefault="004746E5" w14:paraId="47336184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Policymakers</w:t>
            </w:r>
          </w:p>
          <w:p w:rsidR="004746E5" w:rsidP="00D2711B" w:rsidRDefault="004746E5" w14:paraId="1930D79A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Community members</w:t>
            </w:r>
          </w:p>
          <w:p w:rsidRPr="105EC402" w:rsidR="004746E5" w:rsidP="00D2711B" w:rsidRDefault="004746E5" w14:paraId="01CBEFD6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158" w:hanging="158"/>
              <w:contextualSpacing w:val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459405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Academic researchers</w:t>
            </w:r>
          </w:p>
        </w:tc>
        <w:tc>
          <w:tcPr>
            <w:tcW w:w="2402" w:type="dxa"/>
          </w:tcPr>
          <w:p w:rsidRPr="105EC402" w:rsidR="004746E5" w:rsidP="00626418" w:rsidRDefault="004746E5" w14:paraId="07BCA3C3" w14:textId="28188958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 presentation will likely accompany a fact sheet to deliver results after data has been collected during a policy campaign </w:t>
            </w:r>
          </w:p>
        </w:tc>
        <w:tc>
          <w:tcPr>
            <w:tcW w:w="2548" w:type="dxa"/>
          </w:tcPr>
          <w:p w:rsidRPr="00D25E09" w:rsidR="00D25E09" w:rsidP="00D25E09" w:rsidRDefault="00D25E09" w14:paraId="645F8577" w14:textId="10AA6983">
            <w:pPr>
              <w:rPr>
                <w:rFonts w:ascii="Calibri" w:hAnsi="Calibri" w:eastAsia="Calibri" w:cs="Calibri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See </w:t>
            </w:r>
            <w:hyperlink w:history="1" r:id="rId11">
              <w:r w:rsidRPr="00D25E09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https:/</w:t>
              </w:r>
              <w:r w:rsidRPr="00D25E09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/</w:t>
              </w:r>
              <w:r w:rsidRPr="00D25E09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w</w:t>
              </w:r>
              <w:r w:rsidRPr="00D25E09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w</w:t>
              </w:r>
              <w:r w:rsidRPr="00D25E09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w.echorivera.com/</w:t>
              </w:r>
            </w:hyperlink>
            <w:r>
              <w:rPr>
                <w:rStyle w:val="Hyperlink"/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24573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for </w:t>
            </w:r>
            <w:r w:rsidR="0024573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tips and guidance on </w:t>
            </w:r>
            <w:r w:rsidR="00111CB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creating engaging presentations</w:t>
            </w:r>
          </w:p>
          <w:p w:rsidRPr="105EC402" w:rsidR="004746E5" w:rsidP="00626418" w:rsidRDefault="004746E5" w14:paraId="6AE31A19" w14:textId="707A0790">
            <w:pPr>
              <w:pStyle w:val="ListParagraph"/>
              <w:spacing w:after="120" w:line="276" w:lineRule="auto"/>
              <w:ind w:left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Pr="00C57E16" w:rsidR="00C57E16" w:rsidP="4D6EA05D" w:rsidRDefault="00C57E16" w14:paraId="2852C546" w14:textId="7589FF72"/>
    <w:p w:rsidR="04B62332" w:rsidP="04B62332" w:rsidRDefault="04B62332" w14:paraId="2EF4A47E" w14:textId="341DB005"/>
    <w:p w:rsidR="00B0549A" w:rsidP="00B0549A" w:rsidRDefault="00B0549A" w14:paraId="25592577" w14:textId="77777777">
      <w:pPr>
        <w:pStyle w:val="ListParagraph"/>
        <w:ind w:left="1080"/>
      </w:pPr>
    </w:p>
    <w:p w:rsidR="007A3A0E" w:rsidP="318896E8" w:rsidRDefault="007A3A0E" w14:paraId="031E23AA" w14:textId="77777777"/>
    <w:p w:rsidR="007A3A0E" w:rsidP="318896E8" w:rsidRDefault="007A3A0E" w14:paraId="70FA90CA" w14:textId="77777777"/>
    <w:p w:rsidR="007A3A0E" w:rsidP="318896E8" w:rsidRDefault="007A3A0E" w14:paraId="0524C443" w14:textId="77777777"/>
    <w:p w:rsidR="007A3A0E" w:rsidP="622CCE57" w:rsidRDefault="007A3A0E" w14:paraId="3EBAFD54" w14:textId="3C38A434"/>
    <w:p w:rsidR="002E78E4" w:rsidP="622CCE57" w:rsidRDefault="002E78E4" w14:paraId="15E47CC1" w14:textId="77777777">
      <w:pPr>
        <w:ind w:left="2880"/>
      </w:pPr>
    </w:p>
    <w:p w:rsidR="002E78E4" w:rsidP="622CCE57" w:rsidRDefault="002E78E4" w14:paraId="0D82525D" w14:textId="77777777">
      <w:pPr>
        <w:ind w:left="2880"/>
      </w:pPr>
    </w:p>
    <w:p w:rsidR="002E78E4" w:rsidP="622CCE57" w:rsidRDefault="002E78E4" w14:paraId="6867EE49" w14:textId="77777777">
      <w:pPr>
        <w:ind w:left="2880"/>
      </w:pPr>
    </w:p>
    <w:p w:rsidR="002E78E4" w:rsidP="622CCE57" w:rsidRDefault="002E78E4" w14:paraId="435B0074" w14:textId="77777777">
      <w:pPr>
        <w:ind w:left="2880"/>
      </w:pPr>
    </w:p>
    <w:p w:rsidR="002E78E4" w:rsidP="622CCE57" w:rsidRDefault="002E78E4" w14:paraId="0293E72C" w14:textId="77777777">
      <w:pPr>
        <w:ind w:left="2880"/>
      </w:pPr>
    </w:p>
    <w:p w:rsidR="002E78E4" w:rsidP="00EA41CA" w:rsidRDefault="002E78E4" w14:paraId="181069FD" w14:textId="77777777"/>
    <w:p w:rsidR="007A3A0E" w:rsidP="00EA41CA" w:rsidRDefault="55F6E7A3" w14:paraId="02C62F7D" w14:textId="1011842C">
      <w:pPr>
        <w:ind w:left="2880"/>
      </w:pPr>
      <w:r>
        <w:rPr>
          <w:noProof/>
        </w:rPr>
        <w:drawing>
          <wp:inline distT="0" distB="0" distL="0" distR="0" wp14:anchorId="79E737AD" wp14:editId="1E86FF92">
            <wp:extent cx="4848225" cy="242411"/>
            <wp:effectExtent l="0" t="0" r="0" b="0"/>
            <wp:docPr id="1387815323" name="Picture 1387815323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4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A0E" w:rsidP="318896E8" w:rsidRDefault="007A3A0E" w14:paraId="31639A4F" w14:textId="77777777"/>
    <w:p w:rsidR="00815CEF" w:rsidP="001A4010" w:rsidRDefault="00815CEF" w14:paraId="30FA9614" w14:textId="0B588A6A"/>
    <w:sectPr w:rsidR="00815CEF" w:rsidSect="00D271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DF0"/>
    <w:multiLevelType w:val="hybridMultilevel"/>
    <w:tmpl w:val="C55AB8E4"/>
    <w:lvl w:ilvl="0" w:tplc="0A74876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D406980"/>
    <w:multiLevelType w:val="hybridMultilevel"/>
    <w:tmpl w:val="32D8FECE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2" w15:restartNumberingAfterBreak="0">
    <w:nsid w:val="1D4753E2"/>
    <w:multiLevelType w:val="hybridMultilevel"/>
    <w:tmpl w:val="AE8CB2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D0471"/>
    <w:multiLevelType w:val="hybridMultilevel"/>
    <w:tmpl w:val="02C6E076"/>
    <w:lvl w:ilvl="0" w:tplc="A77CC5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F9766D8"/>
    <w:multiLevelType w:val="hybridMultilevel"/>
    <w:tmpl w:val="870675AC"/>
    <w:lvl w:ilvl="0" w:tplc="30186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1F081D"/>
    <w:multiLevelType w:val="hybridMultilevel"/>
    <w:tmpl w:val="A2A4E93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E1B15FE"/>
    <w:multiLevelType w:val="hybridMultilevel"/>
    <w:tmpl w:val="A5FE90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85B6332"/>
    <w:multiLevelType w:val="hybridMultilevel"/>
    <w:tmpl w:val="933018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7642DF"/>
    <w:multiLevelType w:val="hybridMultilevel"/>
    <w:tmpl w:val="548A9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374110"/>
    <w:multiLevelType w:val="hybridMultilevel"/>
    <w:tmpl w:val="D02014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A976A0F"/>
    <w:multiLevelType w:val="hybridMultilevel"/>
    <w:tmpl w:val="10C6FDC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C2803B8"/>
    <w:multiLevelType w:val="hybridMultilevel"/>
    <w:tmpl w:val="F98C10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58003A6"/>
    <w:multiLevelType w:val="hybridMultilevel"/>
    <w:tmpl w:val="AF46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4739">
    <w:abstractNumId w:val="7"/>
  </w:num>
  <w:num w:numId="2" w16cid:durableId="1461801654">
    <w:abstractNumId w:val="0"/>
  </w:num>
  <w:num w:numId="3" w16cid:durableId="1680501565">
    <w:abstractNumId w:val="2"/>
  </w:num>
  <w:num w:numId="4" w16cid:durableId="1175338756">
    <w:abstractNumId w:val="8"/>
  </w:num>
  <w:num w:numId="5" w16cid:durableId="739447456">
    <w:abstractNumId w:val="1"/>
  </w:num>
  <w:num w:numId="6" w16cid:durableId="1222252198">
    <w:abstractNumId w:val="3"/>
  </w:num>
  <w:num w:numId="7" w16cid:durableId="1889141238">
    <w:abstractNumId w:val="10"/>
  </w:num>
  <w:num w:numId="8" w16cid:durableId="684945034">
    <w:abstractNumId w:val="9"/>
  </w:num>
  <w:num w:numId="9" w16cid:durableId="817381091">
    <w:abstractNumId w:val="6"/>
  </w:num>
  <w:num w:numId="10" w16cid:durableId="1389768976">
    <w:abstractNumId w:val="11"/>
  </w:num>
  <w:num w:numId="11" w16cid:durableId="1638031177">
    <w:abstractNumId w:val="5"/>
  </w:num>
  <w:num w:numId="12" w16cid:durableId="236716443">
    <w:abstractNumId w:val="12"/>
  </w:num>
  <w:num w:numId="13" w16cid:durableId="1933119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31BA1"/>
    <w:rsid w:val="00013E50"/>
    <w:rsid w:val="000162E6"/>
    <w:rsid w:val="0002148C"/>
    <w:rsid w:val="0002273F"/>
    <w:rsid w:val="0002485F"/>
    <w:rsid w:val="00045461"/>
    <w:rsid w:val="00045DF9"/>
    <w:rsid w:val="0007068C"/>
    <w:rsid w:val="00071DC2"/>
    <w:rsid w:val="000723C4"/>
    <w:rsid w:val="000872A0"/>
    <w:rsid w:val="00087EE9"/>
    <w:rsid w:val="000B432B"/>
    <w:rsid w:val="000D7F1F"/>
    <w:rsid w:val="000E1295"/>
    <w:rsid w:val="000E4013"/>
    <w:rsid w:val="000E40B9"/>
    <w:rsid w:val="000F1019"/>
    <w:rsid w:val="000F36C3"/>
    <w:rsid w:val="001023E6"/>
    <w:rsid w:val="00111CB3"/>
    <w:rsid w:val="00115EB6"/>
    <w:rsid w:val="00117FDD"/>
    <w:rsid w:val="00122830"/>
    <w:rsid w:val="00122FAF"/>
    <w:rsid w:val="001306EF"/>
    <w:rsid w:val="001460D9"/>
    <w:rsid w:val="0015131E"/>
    <w:rsid w:val="001609DB"/>
    <w:rsid w:val="00174C85"/>
    <w:rsid w:val="001774B7"/>
    <w:rsid w:val="00182A32"/>
    <w:rsid w:val="00191EDD"/>
    <w:rsid w:val="00197F62"/>
    <w:rsid w:val="001A0BF8"/>
    <w:rsid w:val="001A11E6"/>
    <w:rsid w:val="001A4010"/>
    <w:rsid w:val="001B1706"/>
    <w:rsid w:val="001B42BC"/>
    <w:rsid w:val="001D1274"/>
    <w:rsid w:val="001F08B4"/>
    <w:rsid w:val="001F75D9"/>
    <w:rsid w:val="00200563"/>
    <w:rsid w:val="002218BC"/>
    <w:rsid w:val="002243D2"/>
    <w:rsid w:val="00245737"/>
    <w:rsid w:val="0024772D"/>
    <w:rsid w:val="00253843"/>
    <w:rsid w:val="00281118"/>
    <w:rsid w:val="00297D75"/>
    <w:rsid w:val="002C413E"/>
    <w:rsid w:val="002C5963"/>
    <w:rsid w:val="002E5C54"/>
    <w:rsid w:val="002E78E4"/>
    <w:rsid w:val="002F22C5"/>
    <w:rsid w:val="003224FF"/>
    <w:rsid w:val="003315BA"/>
    <w:rsid w:val="0033553B"/>
    <w:rsid w:val="00344B68"/>
    <w:rsid w:val="003614B9"/>
    <w:rsid w:val="00363750"/>
    <w:rsid w:val="00370836"/>
    <w:rsid w:val="00370CA0"/>
    <w:rsid w:val="00391EDC"/>
    <w:rsid w:val="003973C5"/>
    <w:rsid w:val="003A5146"/>
    <w:rsid w:val="003A7696"/>
    <w:rsid w:val="003B4DC0"/>
    <w:rsid w:val="003C6B33"/>
    <w:rsid w:val="003F211C"/>
    <w:rsid w:val="003F6D55"/>
    <w:rsid w:val="00400BE7"/>
    <w:rsid w:val="004259C0"/>
    <w:rsid w:val="004326C9"/>
    <w:rsid w:val="00460DE3"/>
    <w:rsid w:val="00464404"/>
    <w:rsid w:val="004746E5"/>
    <w:rsid w:val="00481ED8"/>
    <w:rsid w:val="00492404"/>
    <w:rsid w:val="004A06BB"/>
    <w:rsid w:val="00500D84"/>
    <w:rsid w:val="0050315D"/>
    <w:rsid w:val="00511E61"/>
    <w:rsid w:val="00512F26"/>
    <w:rsid w:val="00525349"/>
    <w:rsid w:val="00541F2F"/>
    <w:rsid w:val="0054230F"/>
    <w:rsid w:val="00544DCD"/>
    <w:rsid w:val="00557447"/>
    <w:rsid w:val="00563CDA"/>
    <w:rsid w:val="005A1B84"/>
    <w:rsid w:val="005A452D"/>
    <w:rsid w:val="005A52D6"/>
    <w:rsid w:val="005A732A"/>
    <w:rsid w:val="005C286D"/>
    <w:rsid w:val="005D2521"/>
    <w:rsid w:val="005F2BE4"/>
    <w:rsid w:val="006042C3"/>
    <w:rsid w:val="006060B8"/>
    <w:rsid w:val="00611C0F"/>
    <w:rsid w:val="00622A08"/>
    <w:rsid w:val="00632860"/>
    <w:rsid w:val="00664BF8"/>
    <w:rsid w:val="00670E59"/>
    <w:rsid w:val="0069266E"/>
    <w:rsid w:val="006C2A34"/>
    <w:rsid w:val="006C43B9"/>
    <w:rsid w:val="006C596C"/>
    <w:rsid w:val="006C6D3A"/>
    <w:rsid w:val="006D172F"/>
    <w:rsid w:val="006D6119"/>
    <w:rsid w:val="006E2D84"/>
    <w:rsid w:val="006F057B"/>
    <w:rsid w:val="006F7866"/>
    <w:rsid w:val="00715E92"/>
    <w:rsid w:val="00735276"/>
    <w:rsid w:val="007655A8"/>
    <w:rsid w:val="007719DD"/>
    <w:rsid w:val="00774E03"/>
    <w:rsid w:val="00790BCE"/>
    <w:rsid w:val="007A29BF"/>
    <w:rsid w:val="007A3A0E"/>
    <w:rsid w:val="007C638C"/>
    <w:rsid w:val="007D2F25"/>
    <w:rsid w:val="007D7AD4"/>
    <w:rsid w:val="007F6A6B"/>
    <w:rsid w:val="00815CEF"/>
    <w:rsid w:val="00820D58"/>
    <w:rsid w:val="00822318"/>
    <w:rsid w:val="008303FE"/>
    <w:rsid w:val="008319CE"/>
    <w:rsid w:val="00863FA8"/>
    <w:rsid w:val="00885A3A"/>
    <w:rsid w:val="00893278"/>
    <w:rsid w:val="00893575"/>
    <w:rsid w:val="008B32FD"/>
    <w:rsid w:val="008B5244"/>
    <w:rsid w:val="008C0C8C"/>
    <w:rsid w:val="008D4CA3"/>
    <w:rsid w:val="008D5ED8"/>
    <w:rsid w:val="008F0D41"/>
    <w:rsid w:val="00952777"/>
    <w:rsid w:val="009861D0"/>
    <w:rsid w:val="009943C3"/>
    <w:rsid w:val="009F044E"/>
    <w:rsid w:val="009F5D1D"/>
    <w:rsid w:val="009F78BF"/>
    <w:rsid w:val="00A01E6B"/>
    <w:rsid w:val="00A27477"/>
    <w:rsid w:val="00A45E4F"/>
    <w:rsid w:val="00A50109"/>
    <w:rsid w:val="00A53243"/>
    <w:rsid w:val="00A564A3"/>
    <w:rsid w:val="00A7022B"/>
    <w:rsid w:val="00A85641"/>
    <w:rsid w:val="00AA1A1D"/>
    <w:rsid w:val="00AA350C"/>
    <w:rsid w:val="00AA594C"/>
    <w:rsid w:val="00AA784A"/>
    <w:rsid w:val="00AC53D2"/>
    <w:rsid w:val="00AD29F8"/>
    <w:rsid w:val="00AD2AD7"/>
    <w:rsid w:val="00AF0EA2"/>
    <w:rsid w:val="00B0549A"/>
    <w:rsid w:val="00B2551A"/>
    <w:rsid w:val="00B4007C"/>
    <w:rsid w:val="00B4703C"/>
    <w:rsid w:val="00B50993"/>
    <w:rsid w:val="00B510A8"/>
    <w:rsid w:val="00B70A3C"/>
    <w:rsid w:val="00B857AF"/>
    <w:rsid w:val="00BA3D50"/>
    <w:rsid w:val="00BC70B9"/>
    <w:rsid w:val="00BD37D6"/>
    <w:rsid w:val="00C33F1C"/>
    <w:rsid w:val="00C346D9"/>
    <w:rsid w:val="00C40C85"/>
    <w:rsid w:val="00C43176"/>
    <w:rsid w:val="00C50891"/>
    <w:rsid w:val="00C54B97"/>
    <w:rsid w:val="00C57E16"/>
    <w:rsid w:val="00CC06F8"/>
    <w:rsid w:val="00CF20DA"/>
    <w:rsid w:val="00D00B22"/>
    <w:rsid w:val="00D14654"/>
    <w:rsid w:val="00D161B7"/>
    <w:rsid w:val="00D25E09"/>
    <w:rsid w:val="00D2711B"/>
    <w:rsid w:val="00D3797E"/>
    <w:rsid w:val="00D41225"/>
    <w:rsid w:val="00D427FE"/>
    <w:rsid w:val="00D63059"/>
    <w:rsid w:val="00D66F38"/>
    <w:rsid w:val="00D67283"/>
    <w:rsid w:val="00D7631A"/>
    <w:rsid w:val="00D76646"/>
    <w:rsid w:val="00D913A6"/>
    <w:rsid w:val="00D94CBF"/>
    <w:rsid w:val="00D9767C"/>
    <w:rsid w:val="00DA533A"/>
    <w:rsid w:val="00DA5FBE"/>
    <w:rsid w:val="00DA63E5"/>
    <w:rsid w:val="00DE29A5"/>
    <w:rsid w:val="00DF264B"/>
    <w:rsid w:val="00E037A0"/>
    <w:rsid w:val="00E1114A"/>
    <w:rsid w:val="00E26792"/>
    <w:rsid w:val="00E354D5"/>
    <w:rsid w:val="00E3595A"/>
    <w:rsid w:val="00E43DBA"/>
    <w:rsid w:val="00E56C4A"/>
    <w:rsid w:val="00E865F7"/>
    <w:rsid w:val="00EA41CA"/>
    <w:rsid w:val="00EB1A4A"/>
    <w:rsid w:val="00EC10D2"/>
    <w:rsid w:val="00EC51EC"/>
    <w:rsid w:val="00EC5F4A"/>
    <w:rsid w:val="00ED1B3D"/>
    <w:rsid w:val="00ED566A"/>
    <w:rsid w:val="00ED73C2"/>
    <w:rsid w:val="00EE2A65"/>
    <w:rsid w:val="00F05EA1"/>
    <w:rsid w:val="00F06029"/>
    <w:rsid w:val="00F06FE4"/>
    <w:rsid w:val="00F13F6B"/>
    <w:rsid w:val="00F47732"/>
    <w:rsid w:val="00F47841"/>
    <w:rsid w:val="00F56239"/>
    <w:rsid w:val="00F56836"/>
    <w:rsid w:val="00F6055F"/>
    <w:rsid w:val="00F67365"/>
    <w:rsid w:val="00F813DD"/>
    <w:rsid w:val="00F83D42"/>
    <w:rsid w:val="00F849C1"/>
    <w:rsid w:val="00F912BF"/>
    <w:rsid w:val="00F940A7"/>
    <w:rsid w:val="00F94DBA"/>
    <w:rsid w:val="00FC4CA7"/>
    <w:rsid w:val="00FF48FE"/>
    <w:rsid w:val="00FF4CCE"/>
    <w:rsid w:val="019C2A7F"/>
    <w:rsid w:val="04594052"/>
    <w:rsid w:val="04B62332"/>
    <w:rsid w:val="04BCA879"/>
    <w:rsid w:val="052CA800"/>
    <w:rsid w:val="05DA884C"/>
    <w:rsid w:val="064A58D5"/>
    <w:rsid w:val="06558A86"/>
    <w:rsid w:val="065FE2B0"/>
    <w:rsid w:val="0697F903"/>
    <w:rsid w:val="0754B374"/>
    <w:rsid w:val="09574C60"/>
    <w:rsid w:val="0A389AF5"/>
    <w:rsid w:val="0C10DBA9"/>
    <w:rsid w:val="0CCB91E4"/>
    <w:rsid w:val="0E36A200"/>
    <w:rsid w:val="0EBA61E9"/>
    <w:rsid w:val="0F0B7089"/>
    <w:rsid w:val="11660247"/>
    <w:rsid w:val="11F1AEAA"/>
    <w:rsid w:val="13698CA1"/>
    <w:rsid w:val="15869EBD"/>
    <w:rsid w:val="16594BCD"/>
    <w:rsid w:val="1737E194"/>
    <w:rsid w:val="17BDE1D6"/>
    <w:rsid w:val="19430680"/>
    <w:rsid w:val="1AEF418A"/>
    <w:rsid w:val="1DCEB2C7"/>
    <w:rsid w:val="1EEE136C"/>
    <w:rsid w:val="20ED2B2C"/>
    <w:rsid w:val="221A808C"/>
    <w:rsid w:val="22275825"/>
    <w:rsid w:val="22318643"/>
    <w:rsid w:val="24EE4086"/>
    <w:rsid w:val="26F51368"/>
    <w:rsid w:val="275C6CB0"/>
    <w:rsid w:val="2922A6A3"/>
    <w:rsid w:val="29E31BA1"/>
    <w:rsid w:val="2AEDD2F0"/>
    <w:rsid w:val="2BEF5331"/>
    <w:rsid w:val="2C765F90"/>
    <w:rsid w:val="2E32B3D8"/>
    <w:rsid w:val="2EC4B0FF"/>
    <w:rsid w:val="318896E8"/>
    <w:rsid w:val="39B25E70"/>
    <w:rsid w:val="3A53D889"/>
    <w:rsid w:val="3B0A5B83"/>
    <w:rsid w:val="3B72A9B5"/>
    <w:rsid w:val="3C6FBAF4"/>
    <w:rsid w:val="3DB58B65"/>
    <w:rsid w:val="3EE0319E"/>
    <w:rsid w:val="3EE70F38"/>
    <w:rsid w:val="3FC2A7B6"/>
    <w:rsid w:val="4170F1E7"/>
    <w:rsid w:val="41A255AB"/>
    <w:rsid w:val="41B9EE4E"/>
    <w:rsid w:val="421E2B54"/>
    <w:rsid w:val="424880CD"/>
    <w:rsid w:val="43159F58"/>
    <w:rsid w:val="4355BEAF"/>
    <w:rsid w:val="44272784"/>
    <w:rsid w:val="45C76A7E"/>
    <w:rsid w:val="46C89E64"/>
    <w:rsid w:val="47A2A0CF"/>
    <w:rsid w:val="480BD127"/>
    <w:rsid w:val="497D927A"/>
    <w:rsid w:val="498A4790"/>
    <w:rsid w:val="4B5E0739"/>
    <w:rsid w:val="4CAF57D9"/>
    <w:rsid w:val="4D6EA05D"/>
    <w:rsid w:val="4DB4B2DC"/>
    <w:rsid w:val="4E90097F"/>
    <w:rsid w:val="4ED3DADE"/>
    <w:rsid w:val="50764E45"/>
    <w:rsid w:val="51D561E1"/>
    <w:rsid w:val="53ADEF07"/>
    <w:rsid w:val="5517FACA"/>
    <w:rsid w:val="5594424D"/>
    <w:rsid w:val="55F6E7A3"/>
    <w:rsid w:val="562CEBF2"/>
    <w:rsid w:val="56BB955E"/>
    <w:rsid w:val="57644413"/>
    <w:rsid w:val="588BBA45"/>
    <w:rsid w:val="58F07816"/>
    <w:rsid w:val="58FE1EF3"/>
    <w:rsid w:val="59CE2946"/>
    <w:rsid w:val="59F119BF"/>
    <w:rsid w:val="5DEBA3E4"/>
    <w:rsid w:val="5EE4178F"/>
    <w:rsid w:val="5FAA3AAB"/>
    <w:rsid w:val="622CCE57"/>
    <w:rsid w:val="63A44DDF"/>
    <w:rsid w:val="6570415B"/>
    <w:rsid w:val="663E74C8"/>
    <w:rsid w:val="66507B47"/>
    <w:rsid w:val="6A7C5B07"/>
    <w:rsid w:val="6B5E076A"/>
    <w:rsid w:val="6CA5DA1B"/>
    <w:rsid w:val="6E9FA8BB"/>
    <w:rsid w:val="71C624BC"/>
    <w:rsid w:val="736CEA75"/>
    <w:rsid w:val="737083DE"/>
    <w:rsid w:val="75480CD5"/>
    <w:rsid w:val="76811884"/>
    <w:rsid w:val="77A94F2B"/>
    <w:rsid w:val="797365C0"/>
    <w:rsid w:val="798BE67B"/>
    <w:rsid w:val="79C6572C"/>
    <w:rsid w:val="7A2F78F1"/>
    <w:rsid w:val="7C657651"/>
    <w:rsid w:val="7C7E00F0"/>
    <w:rsid w:val="7CFE6DB1"/>
    <w:rsid w:val="7F34B366"/>
    <w:rsid w:val="7F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1BA1"/>
  <w15:chartTrackingRefBased/>
  <w15:docId w15:val="{78331365-21E1-4E6F-A2B3-02DF4D4F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01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A401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4CCE"/>
    <w:pPr>
      <w:ind w:left="720"/>
      <w:contextualSpacing/>
    </w:pPr>
  </w:style>
  <w:style w:type="table" w:styleId="TableGrid">
    <w:name w:val="Table Grid"/>
    <w:basedOn w:val="TableNormal"/>
    <w:uiPriority w:val="39"/>
    <w:rsid w:val="006F057B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162E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4DB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7E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c.org/social-media-toolk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cspartners.org/Campaigns/Media/index.cfm" TargetMode="External"/><Relationship Id="rId12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11" Type="http://schemas.openxmlformats.org/officeDocument/2006/relationships/hyperlink" Target="https://nam12.safelinks.protection.outlook.com/?url=https%3A%2F%2Fwww.echorivera.com%2F&amp;data=05%7C01%7Capyang%40ucdavis.edu%7Ca996806c2cf8419b5e7908db66ce0cf1%7Ca8046f6466c04f009046c8daf92ff62b%7C0%7C0%7C638216807385884920%7CUnknown%7CTWFpbGZsb3d8eyJWIjoiMC4wLjAwMDAiLCJQIjoiV2luMzIiLCJBTiI6Ik1haWwiLCJXVCI6Mn0%3D%7C3000%7C%7C%7C&amp;sdata=XAzov0wzDOniZpkVBufRS5zz3yTEhDW5KMNI9bbhhsE%3D&amp;reserved=0" TargetMode="External"/><Relationship Id="rId5" Type="http://schemas.openxmlformats.org/officeDocument/2006/relationships/image" Target="media/image1.png"/><Relationship Id="Rb93a7af01ec5470f" Type="http://schemas.openxmlformats.org/officeDocument/2006/relationships/hyperlink" Target="https://vimeo.com/833423414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tcspartners.org/Campaigns/Media/PR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baccoeval.ucdavis.edu/report-resul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9843A62F9E64082D475D70A5816C1" ma:contentTypeVersion="15" ma:contentTypeDescription="Create a new document." ma:contentTypeScope="" ma:versionID="10af510a134f81413fbc979056c2aa65">
  <xsd:schema xmlns:xsd="http://www.w3.org/2001/XMLSchema" xmlns:xs="http://www.w3.org/2001/XMLSchema" xmlns:p="http://schemas.microsoft.com/office/2006/metadata/properties" xmlns:ns2="668e480f-ec8f-4652-b656-ed35dea04eb6" xmlns:ns3="0d841d9d-80e8-4c3c-b18e-8392ca19111e" targetNamespace="http://schemas.microsoft.com/office/2006/metadata/properties" ma:root="true" ma:fieldsID="63e2b1442219b6a8b1cfb93ef3eb1fe1" ns2:_="" ns3:_="">
    <xsd:import namespace="668e480f-ec8f-4652-b656-ed35dea04eb6"/>
    <xsd:import namespace="0d841d9d-80e8-4c3c-b18e-8392ca191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e480f-ec8f-4652-b656-ed35dea04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1d9d-80e8-4c3c-b18e-8392ca191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ea5803-50e9-4c5a-94d0-42cf824bd37c}" ma:internalName="TaxCatchAll" ma:showField="CatchAllData" ma:web="0d841d9d-80e8-4c3c-b18e-8392ca191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1d9d-80e8-4c3c-b18e-8392ca19111e" xsi:nil="true"/>
    <lcf76f155ced4ddcb4097134ff3c332f xmlns="668e480f-ec8f-4652-b656-ed35dea04e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7609E-6F61-4638-AAD6-64B173FC0806}"/>
</file>

<file path=customXml/itemProps2.xml><?xml version="1.0" encoding="utf-8"?>
<ds:datastoreItem xmlns:ds="http://schemas.openxmlformats.org/officeDocument/2006/customXml" ds:itemID="{81655F34-50CE-49D8-A072-BD6418887FD6}"/>
</file>

<file path=customXml/itemProps3.xml><?xml version="1.0" encoding="utf-8"?>
<ds:datastoreItem xmlns:ds="http://schemas.openxmlformats.org/officeDocument/2006/customXml" ds:itemID="{73E4F331-8C8D-441B-9F42-956181EAC8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 Der Hau Yang</dc:creator>
  <cp:keywords/>
  <dc:description/>
  <cp:lastModifiedBy>Andersen Der Hau Yang</cp:lastModifiedBy>
  <cp:revision>37</cp:revision>
  <dcterms:created xsi:type="dcterms:W3CDTF">2023-05-19T17:34:00Z</dcterms:created>
  <dcterms:modified xsi:type="dcterms:W3CDTF">2023-06-07T18:57:27Z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0x0101008109843A62F9E64082D475D70A5816C1</vt:lpwstr>
  </property>
</Properties>
</file>