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94FAB" w14:textId="77777777" w:rsidR="004B0067" w:rsidRPr="00327B30" w:rsidRDefault="004B0067" w:rsidP="004B0067">
      <w:pPr>
        <w:rPr>
          <w:sz w:val="12"/>
          <w:szCs w:val="12"/>
        </w:rPr>
      </w:pPr>
    </w:p>
    <w:tbl>
      <w:tblPr>
        <w:tblStyle w:val="TableGrid"/>
        <w:tblW w:w="10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7511"/>
        <w:gridCol w:w="3438"/>
      </w:tblGrid>
      <w:tr w:rsidR="007554D8" w:rsidRPr="00CA6E3E" w14:paraId="62E0B46B" w14:textId="77777777" w:rsidTr="007554D8">
        <w:trPr>
          <w:trHeight w:val="1087"/>
        </w:trPr>
        <w:tc>
          <w:tcPr>
            <w:tcW w:w="7511" w:type="dxa"/>
            <w:shd w:val="clear" w:color="auto" w:fill="FF7600"/>
            <w:vAlign w:val="center"/>
          </w:tcPr>
          <w:p w14:paraId="3E799E0E" w14:textId="48300C1A" w:rsidR="007554D8" w:rsidRPr="00065622" w:rsidRDefault="007554D8" w:rsidP="00B217F5">
            <w:pPr>
              <w:rPr>
                <w:b/>
                <w:bCs/>
              </w:rPr>
            </w:pPr>
            <w:r w:rsidRPr="005146BD">
              <w:rPr>
                <w:rFonts w:eastAsia="Times New Roman" w:cstheme="minorHAnsi"/>
                <w:b/>
                <w:bCs/>
                <w:color w:val="FFFFFF" w:themeColor="background1"/>
                <w:sz w:val="48"/>
                <w:szCs w:val="48"/>
              </w:rPr>
              <w:t xml:space="preserve">How to </w:t>
            </w:r>
            <w:r>
              <w:rPr>
                <w:rFonts w:eastAsia="Times New Roman" w:cstheme="minorHAnsi"/>
                <w:b/>
                <w:bCs/>
                <w:color w:val="FFFFFF" w:themeColor="background1"/>
                <w:sz w:val="48"/>
                <w:szCs w:val="48"/>
              </w:rPr>
              <w:t>Prepare for a Data Collection Training</w:t>
            </w:r>
          </w:p>
        </w:tc>
        <w:tc>
          <w:tcPr>
            <w:tcW w:w="3438" w:type="dxa"/>
            <w:shd w:val="clear" w:color="auto" w:fill="FF7600"/>
            <w:vAlign w:val="center"/>
          </w:tcPr>
          <w:p w14:paraId="5AB1679C" w14:textId="77777777" w:rsidR="007554D8" w:rsidRPr="00CA6E3E" w:rsidRDefault="007554D8" w:rsidP="007554D8">
            <w:pPr>
              <w:spacing w:before="240"/>
            </w:pPr>
            <w:r w:rsidRPr="00CA6E3E">
              <w:rPr>
                <w:noProof/>
              </w:rPr>
              <w:drawing>
                <wp:anchor distT="0" distB="0" distL="114300" distR="114300" simplePos="0" relativeHeight="251660288" behindDoc="0" locked="0" layoutInCell="1" allowOverlap="1" wp14:anchorId="61766A86" wp14:editId="16E187F9">
                  <wp:simplePos x="0" y="0"/>
                  <wp:positionH relativeFrom="column">
                    <wp:posOffset>673735</wp:posOffset>
                  </wp:positionH>
                  <wp:positionV relativeFrom="paragraph">
                    <wp:posOffset>-18415</wp:posOffset>
                  </wp:positionV>
                  <wp:extent cx="1404620" cy="556260"/>
                  <wp:effectExtent l="0" t="0" r="5080" b="0"/>
                  <wp:wrapNone/>
                  <wp:docPr id="3"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04620" cy="556260"/>
                          </a:xfrm>
                          <a:prstGeom prst="rect">
                            <a:avLst/>
                          </a:prstGeom>
                        </pic:spPr>
                      </pic:pic>
                    </a:graphicData>
                  </a:graphic>
                  <wp14:sizeRelH relativeFrom="margin">
                    <wp14:pctWidth>0</wp14:pctWidth>
                  </wp14:sizeRelH>
                  <wp14:sizeRelV relativeFrom="margin">
                    <wp14:pctHeight>0</wp14:pctHeight>
                  </wp14:sizeRelV>
                </wp:anchor>
              </w:drawing>
            </w:r>
          </w:p>
        </w:tc>
      </w:tr>
    </w:tbl>
    <w:p w14:paraId="7490625B" w14:textId="3910E715" w:rsidR="00B02296" w:rsidRPr="00B02296" w:rsidRDefault="00B02296" w:rsidP="00B02296">
      <w:pPr>
        <w:autoSpaceDE w:val="0"/>
        <w:autoSpaceDN w:val="0"/>
        <w:adjustRightInd w:val="0"/>
        <w:ind w:left="0" w:firstLine="0"/>
        <w:rPr>
          <w:rFonts w:cstheme="minorHAnsi"/>
          <w:b/>
          <w:bCs/>
        </w:rPr>
      </w:pPr>
    </w:p>
    <w:p w14:paraId="3D833B57" w14:textId="77777777" w:rsidR="00F42B9F" w:rsidRDefault="000D048C" w:rsidP="00F42B9F">
      <w:pPr>
        <w:pStyle w:val="NoSpacing"/>
        <w:ind w:left="648" w:right="288"/>
      </w:pPr>
      <w:bookmarkStart w:id="0" w:name="_Hlk99368711"/>
      <w:r w:rsidRPr="005674BA">
        <w:t>Because the person who designed the data collection protocol is not always the one who conducts the training or</w:t>
      </w:r>
      <w:r w:rsidR="000E27BB">
        <w:t xml:space="preserve"> </w:t>
      </w:r>
    </w:p>
    <w:p w14:paraId="1F5AD121" w14:textId="77777777" w:rsidR="00F42B9F" w:rsidRDefault="000D048C" w:rsidP="00F42B9F">
      <w:pPr>
        <w:pStyle w:val="NoSpacing"/>
        <w:ind w:left="648" w:right="288"/>
      </w:pPr>
      <w:r w:rsidRPr="005674BA">
        <w:t xml:space="preserve">leads the team in the field, it is crucial that there be clear communication between these people. </w:t>
      </w:r>
      <w:r>
        <w:t xml:space="preserve"> </w:t>
      </w:r>
      <w:r w:rsidRPr="005674BA">
        <w:t>Ideally, the</w:t>
      </w:r>
    </w:p>
    <w:p w14:paraId="70AEBB8B" w14:textId="77777777" w:rsidR="00F42B9F" w:rsidRDefault="000D048C" w:rsidP="00F42B9F">
      <w:pPr>
        <w:pStyle w:val="NoSpacing"/>
        <w:ind w:left="648" w:right="288"/>
      </w:pPr>
      <w:r w:rsidRPr="005674BA">
        <w:t>person</w:t>
      </w:r>
      <w:r w:rsidR="00F42B9F">
        <w:t xml:space="preserve"> w</w:t>
      </w:r>
      <w:r w:rsidRPr="005674BA">
        <w:t>ho will lead the data collection will train or at least attend the training. Here’s what needs to be done in</w:t>
      </w:r>
      <w:r w:rsidR="00F42B9F">
        <w:t xml:space="preserve"> </w:t>
      </w:r>
    </w:p>
    <w:p w14:paraId="13171E4D" w14:textId="7957A549" w:rsidR="000D048C" w:rsidRDefault="000D048C" w:rsidP="00F42B9F">
      <w:pPr>
        <w:pStyle w:val="NoSpacing"/>
        <w:ind w:left="648" w:right="288"/>
      </w:pPr>
      <w:r w:rsidRPr="005674BA">
        <w:t>advance of</w:t>
      </w:r>
      <w:r w:rsidR="00F42B9F">
        <w:t xml:space="preserve"> </w:t>
      </w:r>
      <w:r w:rsidRPr="005674BA">
        <w:t>the training:</w:t>
      </w:r>
    </w:p>
    <w:p w14:paraId="5184857A" w14:textId="77777777" w:rsidR="00F42B9F" w:rsidRPr="005674BA" w:rsidRDefault="00F42B9F" w:rsidP="00F42B9F">
      <w:pPr>
        <w:pStyle w:val="NoSpacing"/>
      </w:pPr>
    </w:p>
    <w:bookmarkEnd w:id="0"/>
    <w:p w14:paraId="78F2374D" w14:textId="77777777" w:rsidR="000D048C" w:rsidRPr="005674BA" w:rsidRDefault="000D048C" w:rsidP="005E30D1">
      <w:pPr>
        <w:numPr>
          <w:ilvl w:val="0"/>
          <w:numId w:val="5"/>
        </w:numPr>
        <w:autoSpaceDE w:val="0"/>
        <w:autoSpaceDN w:val="0"/>
        <w:adjustRightInd w:val="0"/>
        <w:spacing w:after="120" w:line="240" w:lineRule="auto"/>
        <w:ind w:left="792" w:right="288"/>
        <w:rPr>
          <w:rFonts w:cstheme="minorHAnsi"/>
        </w:rPr>
      </w:pPr>
      <w:r w:rsidRPr="005674BA">
        <w:rPr>
          <w:rFonts w:cstheme="minorHAnsi"/>
        </w:rPr>
        <w:t>Finalize the data collection instrument and protocol.  Specify how data will be collected (self-administered or collected by a data collector</w:t>
      </w:r>
      <w:r>
        <w:rPr>
          <w:rFonts w:cstheme="minorHAnsi"/>
        </w:rPr>
        <w:t>?</w:t>
      </w:r>
      <w:r w:rsidRPr="005674BA">
        <w:rPr>
          <w:rFonts w:cstheme="minorHAnsi"/>
        </w:rPr>
        <w:t xml:space="preserve"> online or paper</w:t>
      </w:r>
      <w:r>
        <w:rPr>
          <w:rFonts w:cstheme="minorHAnsi"/>
        </w:rPr>
        <w:t>?</w:t>
      </w:r>
      <w:r w:rsidRPr="005674BA">
        <w:rPr>
          <w:rFonts w:cstheme="minorHAnsi"/>
        </w:rPr>
        <w:t xml:space="preserve"> with photos</w:t>
      </w:r>
      <w:r>
        <w:rPr>
          <w:rFonts w:cstheme="minorHAnsi"/>
        </w:rPr>
        <w:t>?</w:t>
      </w:r>
      <w:r w:rsidRPr="005674BA">
        <w:rPr>
          <w:rFonts w:cstheme="minorHAnsi"/>
        </w:rPr>
        <w:t xml:space="preserve"> etc.)</w:t>
      </w:r>
    </w:p>
    <w:p w14:paraId="7F40822D" w14:textId="77777777" w:rsidR="000D048C" w:rsidRPr="005674BA" w:rsidRDefault="000D048C" w:rsidP="005E30D1">
      <w:pPr>
        <w:numPr>
          <w:ilvl w:val="0"/>
          <w:numId w:val="5"/>
        </w:numPr>
        <w:autoSpaceDE w:val="0"/>
        <w:autoSpaceDN w:val="0"/>
        <w:adjustRightInd w:val="0"/>
        <w:spacing w:after="120" w:line="240" w:lineRule="auto"/>
        <w:ind w:left="792" w:right="288"/>
        <w:rPr>
          <w:rFonts w:cstheme="minorHAnsi"/>
        </w:rPr>
      </w:pPr>
      <w:r w:rsidRPr="005674BA">
        <w:rPr>
          <w:rFonts w:cstheme="minorHAnsi"/>
        </w:rPr>
        <w:t>Specify the parameters of the sample (e.g., jurisdiction, boundaries, sites, vantage points, population(s) of interest, size, sampling method, timeline/duration, etc.).</w:t>
      </w:r>
    </w:p>
    <w:p w14:paraId="68CEE644" w14:textId="77777777" w:rsidR="000D048C" w:rsidRPr="005674BA" w:rsidRDefault="000D048C" w:rsidP="005E30D1">
      <w:pPr>
        <w:numPr>
          <w:ilvl w:val="0"/>
          <w:numId w:val="5"/>
        </w:numPr>
        <w:autoSpaceDE w:val="0"/>
        <w:autoSpaceDN w:val="0"/>
        <w:adjustRightInd w:val="0"/>
        <w:spacing w:after="120" w:line="240" w:lineRule="auto"/>
        <w:ind w:left="792" w:right="288"/>
        <w:rPr>
          <w:rFonts w:cstheme="minorHAnsi"/>
        </w:rPr>
      </w:pPr>
      <w:r w:rsidRPr="005674BA">
        <w:rPr>
          <w:rFonts w:cstheme="minorHAnsi"/>
        </w:rPr>
        <w:t>Well before the training, the trainer should get familiar with the data collection instrument and do some field practice.  Anticipate which parts may be more problematic for trainees</w:t>
      </w:r>
      <w:r>
        <w:rPr>
          <w:rFonts w:cstheme="minorHAnsi"/>
        </w:rPr>
        <w:t>.  Break the content into manageable chunks and build in practice activities</w:t>
      </w:r>
      <w:r w:rsidRPr="005674BA">
        <w:rPr>
          <w:rFonts w:cstheme="minorHAnsi"/>
        </w:rPr>
        <w:t>.</w:t>
      </w:r>
    </w:p>
    <w:p w14:paraId="6464AA86" w14:textId="77777777" w:rsidR="000D048C" w:rsidRPr="005674BA" w:rsidRDefault="000D048C" w:rsidP="005E30D1">
      <w:pPr>
        <w:numPr>
          <w:ilvl w:val="0"/>
          <w:numId w:val="5"/>
        </w:numPr>
        <w:autoSpaceDE w:val="0"/>
        <w:autoSpaceDN w:val="0"/>
        <w:adjustRightInd w:val="0"/>
        <w:spacing w:after="120" w:line="240" w:lineRule="auto"/>
        <w:ind w:left="792" w:right="288"/>
        <w:rPr>
          <w:rFonts w:cstheme="minorHAnsi"/>
        </w:rPr>
      </w:pPr>
      <w:r w:rsidRPr="005674BA">
        <w:rPr>
          <w:rFonts w:cstheme="minorHAnsi"/>
        </w:rPr>
        <w:t xml:space="preserve">Create multiple scripts and scenarios for training practice, </w:t>
      </w:r>
      <w:proofErr w:type="gramStart"/>
      <w:r w:rsidRPr="005674BA">
        <w:rPr>
          <w:rFonts w:cstheme="minorHAnsi"/>
        </w:rPr>
        <w:t>debriefings</w:t>
      </w:r>
      <w:proofErr w:type="gramEnd"/>
      <w:r w:rsidRPr="005674BA">
        <w:rPr>
          <w:rFonts w:cstheme="minorHAnsi"/>
        </w:rPr>
        <w:t xml:space="preserve"> and readiness assessment.  For observation training, scout out and map locations and vantage points</w:t>
      </w:r>
      <w:r>
        <w:rPr>
          <w:rFonts w:cstheme="minorHAnsi"/>
        </w:rPr>
        <w:t xml:space="preserve"> ahead of time</w:t>
      </w:r>
      <w:r w:rsidRPr="005674BA">
        <w:rPr>
          <w:rFonts w:cstheme="minorHAnsi"/>
        </w:rPr>
        <w:t>.</w:t>
      </w:r>
      <w:r>
        <w:rPr>
          <w:rFonts w:cstheme="minorHAnsi"/>
        </w:rPr>
        <w:t xml:space="preserve"> </w:t>
      </w:r>
      <w:r w:rsidRPr="005674BA">
        <w:rPr>
          <w:rFonts w:cstheme="minorHAnsi"/>
        </w:rPr>
        <w:t xml:space="preserve"> Create the assessment answer key</w:t>
      </w:r>
      <w:r>
        <w:rPr>
          <w:rFonts w:cstheme="minorHAnsi"/>
        </w:rPr>
        <w:t>s</w:t>
      </w:r>
      <w:r w:rsidRPr="005674BA">
        <w:rPr>
          <w:rFonts w:cstheme="minorHAnsi"/>
        </w:rPr>
        <w:t xml:space="preserve">.  </w:t>
      </w:r>
    </w:p>
    <w:p w14:paraId="04EEBF22" w14:textId="77777777" w:rsidR="000D048C" w:rsidRPr="005674BA" w:rsidRDefault="000D048C" w:rsidP="005E30D1">
      <w:pPr>
        <w:numPr>
          <w:ilvl w:val="0"/>
          <w:numId w:val="5"/>
        </w:numPr>
        <w:autoSpaceDE w:val="0"/>
        <w:autoSpaceDN w:val="0"/>
        <w:adjustRightInd w:val="0"/>
        <w:spacing w:after="120" w:line="240" w:lineRule="auto"/>
        <w:ind w:left="792" w:right="288"/>
        <w:rPr>
          <w:rFonts w:cstheme="minorHAnsi"/>
        </w:rPr>
      </w:pPr>
      <w:r w:rsidRPr="005674BA">
        <w:rPr>
          <w:rFonts w:cstheme="minorHAnsi"/>
        </w:rPr>
        <w:t xml:space="preserve">Anticipate/time how long each segment of the training will take. Build in ample time to practice, </w:t>
      </w:r>
      <w:proofErr w:type="gramStart"/>
      <w:r w:rsidRPr="005674BA">
        <w:rPr>
          <w:rFonts w:cstheme="minorHAnsi"/>
        </w:rPr>
        <w:t>debrief</w:t>
      </w:r>
      <w:proofErr w:type="gramEnd"/>
      <w:r w:rsidRPr="005674BA">
        <w:rPr>
          <w:rFonts w:cstheme="minorHAnsi"/>
        </w:rPr>
        <w:t xml:space="preserve"> and reiterate key content. </w:t>
      </w:r>
    </w:p>
    <w:p w14:paraId="562736C5" w14:textId="77777777" w:rsidR="000D048C" w:rsidRPr="005674BA" w:rsidRDefault="000D048C" w:rsidP="005E30D1">
      <w:pPr>
        <w:numPr>
          <w:ilvl w:val="0"/>
          <w:numId w:val="5"/>
        </w:numPr>
        <w:autoSpaceDE w:val="0"/>
        <w:autoSpaceDN w:val="0"/>
        <w:adjustRightInd w:val="0"/>
        <w:spacing w:after="120" w:line="240" w:lineRule="auto"/>
        <w:ind w:left="792" w:right="288"/>
        <w:rPr>
          <w:rFonts w:cstheme="minorHAnsi"/>
        </w:rPr>
      </w:pPr>
      <w:r w:rsidRPr="005674BA">
        <w:rPr>
          <w:rFonts w:cstheme="minorHAnsi"/>
        </w:rPr>
        <w:t xml:space="preserve">Recruit potential trainees who fit the needs of the data collection activity (know the population or area of the sample, are community partners from the population of interest, and have the skills </w:t>
      </w:r>
      <w:r>
        <w:rPr>
          <w:rFonts w:cstheme="minorHAnsi"/>
        </w:rPr>
        <w:t>and</w:t>
      </w:r>
      <w:r w:rsidRPr="005674BA">
        <w:rPr>
          <w:rFonts w:cstheme="minorHAnsi"/>
        </w:rPr>
        <w:t xml:space="preserve"> commitment to conduct high quality data collection).</w:t>
      </w:r>
    </w:p>
    <w:p w14:paraId="396CFEFB" w14:textId="77777777" w:rsidR="000D048C" w:rsidRPr="005674BA" w:rsidRDefault="000D048C" w:rsidP="005E30D1">
      <w:pPr>
        <w:numPr>
          <w:ilvl w:val="0"/>
          <w:numId w:val="5"/>
        </w:numPr>
        <w:autoSpaceDE w:val="0"/>
        <w:autoSpaceDN w:val="0"/>
        <w:adjustRightInd w:val="0"/>
        <w:spacing w:after="120" w:line="240" w:lineRule="auto"/>
        <w:ind w:left="792" w:right="288"/>
        <w:rPr>
          <w:rFonts w:cstheme="minorHAnsi"/>
        </w:rPr>
      </w:pPr>
      <w:r w:rsidRPr="005674BA">
        <w:rPr>
          <w:rFonts w:cstheme="minorHAnsi"/>
        </w:rPr>
        <w:t xml:space="preserve">Arrange the logistics of the training event (quiet, comfortable space with tables and </w:t>
      </w:r>
      <w:r>
        <w:rPr>
          <w:rFonts w:cstheme="minorHAnsi"/>
        </w:rPr>
        <w:t>seating</w:t>
      </w:r>
      <w:r w:rsidRPr="005674BA">
        <w:rPr>
          <w:rFonts w:cstheme="minorHAnsi"/>
        </w:rPr>
        <w:t xml:space="preserve">, </w:t>
      </w:r>
      <w:proofErr w:type="spellStart"/>
      <w:r>
        <w:rPr>
          <w:rFonts w:cstheme="minorHAnsi"/>
        </w:rPr>
        <w:t>WiFi</w:t>
      </w:r>
      <w:proofErr w:type="spellEnd"/>
      <w:r w:rsidRPr="005674BA">
        <w:rPr>
          <w:rFonts w:cstheme="minorHAnsi"/>
        </w:rPr>
        <w:t xml:space="preserve"> access, refreshments, transportation to field practice sites, support staff</w:t>
      </w:r>
      <w:r>
        <w:rPr>
          <w:rFonts w:cstheme="minorHAnsi"/>
        </w:rPr>
        <w:t>, etc.</w:t>
      </w:r>
      <w:r w:rsidRPr="005674BA">
        <w:rPr>
          <w:rFonts w:cstheme="minorHAnsi"/>
        </w:rPr>
        <w:t>)</w:t>
      </w:r>
    </w:p>
    <w:p w14:paraId="257EADBD" w14:textId="77777777" w:rsidR="000D048C" w:rsidRPr="005674BA" w:rsidRDefault="000D048C" w:rsidP="005E30D1">
      <w:pPr>
        <w:numPr>
          <w:ilvl w:val="0"/>
          <w:numId w:val="5"/>
        </w:numPr>
        <w:autoSpaceDE w:val="0"/>
        <w:autoSpaceDN w:val="0"/>
        <w:adjustRightInd w:val="0"/>
        <w:spacing w:after="120" w:line="240" w:lineRule="auto"/>
        <w:ind w:left="792" w:right="288"/>
        <w:rPr>
          <w:rFonts w:cstheme="minorHAnsi"/>
        </w:rPr>
      </w:pPr>
      <w:r w:rsidRPr="005674BA">
        <w:rPr>
          <w:rFonts w:cstheme="minorHAnsi"/>
        </w:rPr>
        <w:t xml:space="preserve">DAY OF: bring fully charged devices loaded with needed apps, clipboards, pens, paper permission slips, copies of the data collection instrument and protocol for everyone, *route maps, *route assignments, *contact lists.  (* items </w:t>
      </w:r>
      <w:r>
        <w:rPr>
          <w:rFonts w:cstheme="minorHAnsi"/>
        </w:rPr>
        <w:t xml:space="preserve">that </w:t>
      </w:r>
      <w:r w:rsidRPr="005674BA">
        <w:rPr>
          <w:rFonts w:cstheme="minorHAnsi"/>
        </w:rPr>
        <w:t>could be emailed out later after data collector readiness assessment reveals who will collect data)</w:t>
      </w:r>
    </w:p>
    <w:p w14:paraId="12624711" w14:textId="77777777" w:rsidR="003263CD" w:rsidRPr="00073F62" w:rsidRDefault="003263CD" w:rsidP="00BC2D22">
      <w:pPr>
        <w:autoSpaceDE w:val="0"/>
        <w:autoSpaceDN w:val="0"/>
        <w:adjustRightInd w:val="0"/>
        <w:spacing w:after="0" w:line="240" w:lineRule="auto"/>
        <w:ind w:left="648" w:right="288"/>
        <w:rPr>
          <w:rFonts w:eastAsia="Times New Roman" w:cstheme="minorHAnsi"/>
        </w:rPr>
      </w:pPr>
    </w:p>
    <w:p w14:paraId="2CD8A1B7" w14:textId="77777777" w:rsidR="006E2B61" w:rsidRPr="00087023" w:rsidRDefault="006E2B61" w:rsidP="00BC2D22">
      <w:pPr>
        <w:pStyle w:val="Default"/>
        <w:spacing w:after="120" w:line="259" w:lineRule="auto"/>
        <w:ind w:left="288" w:right="288"/>
        <w:rPr>
          <w:sz w:val="12"/>
          <w:szCs w:val="12"/>
        </w:rPr>
      </w:pPr>
    </w:p>
    <w:p w14:paraId="186EB536" w14:textId="4B790715" w:rsidR="000E27BB" w:rsidRPr="000E27BB" w:rsidRDefault="003263CD" w:rsidP="00F42B9F">
      <w:pPr>
        <w:pStyle w:val="Heading2"/>
        <w:spacing w:after="240" w:line="276" w:lineRule="auto"/>
        <w:ind w:left="288" w:right="288"/>
        <w:rPr>
          <w:rStyle w:val="Hyperlink"/>
          <w:color w:val="F2F2F2" w:themeColor="background1" w:themeShade="F2"/>
          <w:u w:val="none"/>
        </w:rPr>
      </w:pPr>
      <w:r>
        <w:t>References</w:t>
      </w:r>
    </w:p>
    <w:p w14:paraId="49271779" w14:textId="77777777" w:rsidR="000E27BB" w:rsidRDefault="000E27BB" w:rsidP="00F42B9F">
      <w:pPr>
        <w:pStyle w:val="NoSpacing"/>
        <w:ind w:left="648" w:right="288"/>
      </w:pPr>
      <w:r>
        <w:t>World Health Organization. 2008. “Measuring medicine prices, availability, affordability and price components,”</w:t>
      </w:r>
    </w:p>
    <w:p w14:paraId="7BBC584B" w14:textId="77777777" w:rsidR="000E27BB" w:rsidRDefault="000E27BB" w:rsidP="00F42B9F">
      <w:pPr>
        <w:autoSpaceDE w:val="0"/>
        <w:autoSpaceDN w:val="0"/>
        <w:adjustRightInd w:val="0"/>
        <w:ind w:left="288" w:right="288" w:firstLine="0"/>
        <w:rPr>
          <w:rStyle w:val="Hyperlink"/>
          <w:rFonts w:cstheme="minorHAnsi"/>
        </w:rPr>
      </w:pPr>
      <w:r>
        <w:rPr>
          <w:rFonts w:cstheme="minorHAnsi"/>
        </w:rPr>
        <w:t>2</w:t>
      </w:r>
      <w:r>
        <w:rPr>
          <w:rFonts w:cstheme="minorHAnsi"/>
          <w:vertAlign w:val="superscript"/>
        </w:rPr>
        <w:t xml:space="preserve">nd </w:t>
      </w:r>
      <w:r>
        <w:rPr>
          <w:rFonts w:cstheme="minorHAnsi"/>
        </w:rPr>
        <w:t xml:space="preserve">ed., p.55  </w:t>
      </w:r>
      <w:hyperlink r:id="rId9" w:history="1">
        <w:r>
          <w:rPr>
            <w:rStyle w:val="Hyperlink"/>
            <w:rFonts w:cstheme="minorHAnsi"/>
          </w:rPr>
          <w:t>https://haiweb.org/publication/measuring-medicine-prices-availability-affordability-and-price-components-2nd-ed/</w:t>
        </w:r>
      </w:hyperlink>
    </w:p>
    <w:p w14:paraId="1BAAB4E7" w14:textId="4C341357" w:rsidR="000E27BB" w:rsidRPr="005674BA" w:rsidRDefault="007554D8" w:rsidP="00BC2D22">
      <w:pPr>
        <w:autoSpaceDE w:val="0"/>
        <w:autoSpaceDN w:val="0"/>
        <w:adjustRightInd w:val="0"/>
        <w:ind w:left="648" w:right="288"/>
        <w:rPr>
          <w:rFonts w:cstheme="minorHAnsi"/>
        </w:rPr>
      </w:pPr>
      <w:hyperlink r:id="rId10" w:history="1">
        <w:r w:rsidR="000E27BB">
          <w:rPr>
            <w:rStyle w:val="Hyperlink"/>
            <w:rFonts w:cstheme="minorHAnsi"/>
          </w:rPr>
          <w:t>http://www.nationalserviceresources.org/node/17592</w:t>
        </w:r>
      </w:hyperlink>
    </w:p>
    <w:p w14:paraId="0FD130CD" w14:textId="6749EE4E" w:rsidR="00BA1DC0" w:rsidRDefault="00BA1DC0" w:rsidP="00BC2D22">
      <w:pPr>
        <w:tabs>
          <w:tab w:val="left" w:pos="4869"/>
        </w:tabs>
        <w:ind w:left="288" w:right="288"/>
      </w:pPr>
    </w:p>
    <w:sectPr w:rsidR="00BA1DC0" w:rsidSect="00BA1DC0">
      <w:footerReference w:type="default" r:id="rId11"/>
      <w:footerReference w:type="first" r:id="rId12"/>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4F93" w14:textId="77777777" w:rsidR="00E0046E" w:rsidRDefault="00E0046E" w:rsidP="008E514B">
      <w:pPr>
        <w:spacing w:after="0" w:line="240" w:lineRule="auto"/>
      </w:pPr>
      <w:r>
        <w:separator/>
      </w:r>
    </w:p>
  </w:endnote>
  <w:endnote w:type="continuationSeparator" w:id="0">
    <w:p w14:paraId="5EEA1D68" w14:textId="77777777" w:rsidR="00E0046E" w:rsidRDefault="00E0046E" w:rsidP="008E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3511" w14:textId="6A56DA43" w:rsidR="00BA1DC0" w:rsidRDefault="00BA1DC0" w:rsidP="00BA1DC0">
    <w:pPr>
      <w:pStyle w:val="NormalWeb"/>
      <w:jc w:val="center"/>
      <w:rPr>
        <w:rFonts w:ascii="Calibri" w:hAnsi="Calibri" w:cs="Arial"/>
        <w:color w:val="808080"/>
        <w:sz w:val="18"/>
        <w:szCs w:val="18"/>
      </w:rPr>
    </w:pPr>
    <w:r>
      <w:rPr>
        <w:rFonts w:ascii="Calibri" w:hAnsi="Calibri" w:cs="Arial"/>
        <w:color w:val="808080"/>
        <w:sz w:val="18"/>
        <w:szCs w:val="18"/>
      </w:rPr>
      <w:t>© 2022. California Department of Public Health. Funded under contract #20-10273.</w:t>
    </w:r>
  </w:p>
  <w:p w14:paraId="6EC02D0B" w14:textId="77777777" w:rsidR="00BA1DC0" w:rsidRDefault="00BA1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B1BC" w14:textId="77777777" w:rsidR="00BC2D22" w:rsidRDefault="00BC2D22" w:rsidP="00BC2D22">
    <w:pPr>
      <w:pStyle w:val="NormalWeb"/>
      <w:jc w:val="center"/>
      <w:rPr>
        <w:rFonts w:ascii="Calibri" w:hAnsi="Calibri" w:cs="Arial"/>
        <w:color w:val="808080"/>
        <w:sz w:val="18"/>
        <w:szCs w:val="18"/>
      </w:rPr>
    </w:pPr>
    <w:r>
      <w:rPr>
        <w:rFonts w:ascii="Calibri" w:hAnsi="Calibri" w:cs="Arial"/>
        <w:color w:val="808080"/>
        <w:sz w:val="18"/>
        <w:szCs w:val="18"/>
      </w:rPr>
      <w:t>© 2022. California Department of Public Health. Funded under contract #20-10273.</w:t>
    </w:r>
  </w:p>
  <w:p w14:paraId="403E859D" w14:textId="77777777" w:rsidR="00BC2D22" w:rsidRDefault="00BC2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FBDF" w14:textId="77777777" w:rsidR="00E0046E" w:rsidRDefault="00E0046E" w:rsidP="008E514B">
      <w:pPr>
        <w:spacing w:after="0" w:line="240" w:lineRule="auto"/>
      </w:pPr>
      <w:r>
        <w:separator/>
      </w:r>
    </w:p>
  </w:footnote>
  <w:footnote w:type="continuationSeparator" w:id="0">
    <w:p w14:paraId="56A8566F" w14:textId="77777777" w:rsidR="00E0046E" w:rsidRDefault="00E0046E" w:rsidP="008E5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038B3"/>
    <w:multiLevelType w:val="hybridMultilevel"/>
    <w:tmpl w:val="DF903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15962"/>
    <w:multiLevelType w:val="hybridMultilevel"/>
    <w:tmpl w:val="8BAE390E"/>
    <w:lvl w:ilvl="0" w:tplc="399218EC">
      <w:start w:val="1"/>
      <w:numFmt w:val="bullet"/>
      <w:lvlText w:val="❶"/>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F2ED9"/>
    <w:multiLevelType w:val="hybridMultilevel"/>
    <w:tmpl w:val="D93C6380"/>
    <w:lvl w:ilvl="0" w:tplc="399218EC">
      <w:start w:val="1"/>
      <w:numFmt w:val="bullet"/>
      <w:lvlText w:val="❶"/>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8013E"/>
    <w:multiLevelType w:val="hybridMultilevel"/>
    <w:tmpl w:val="A4F034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51B72"/>
    <w:multiLevelType w:val="hybridMultilevel"/>
    <w:tmpl w:val="4516CC2E"/>
    <w:lvl w:ilvl="0" w:tplc="A1C6AC56">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57"/>
    <w:rsid w:val="00001C25"/>
    <w:rsid w:val="0000751E"/>
    <w:rsid w:val="00015666"/>
    <w:rsid w:val="00016042"/>
    <w:rsid w:val="00023656"/>
    <w:rsid w:val="0003665F"/>
    <w:rsid w:val="00067320"/>
    <w:rsid w:val="0007380E"/>
    <w:rsid w:val="00073F62"/>
    <w:rsid w:val="00074F6A"/>
    <w:rsid w:val="00077002"/>
    <w:rsid w:val="00087023"/>
    <w:rsid w:val="000A4BA2"/>
    <w:rsid w:val="000A7984"/>
    <w:rsid w:val="000B2414"/>
    <w:rsid w:val="000B5FEB"/>
    <w:rsid w:val="000C2DEC"/>
    <w:rsid w:val="000D048C"/>
    <w:rsid w:val="000E27BB"/>
    <w:rsid w:val="000F1E57"/>
    <w:rsid w:val="00100CDC"/>
    <w:rsid w:val="00114097"/>
    <w:rsid w:val="00115B6D"/>
    <w:rsid w:val="00126E85"/>
    <w:rsid w:val="001318EB"/>
    <w:rsid w:val="001365F4"/>
    <w:rsid w:val="001407F5"/>
    <w:rsid w:val="00143468"/>
    <w:rsid w:val="001572CE"/>
    <w:rsid w:val="00164306"/>
    <w:rsid w:val="00174CE0"/>
    <w:rsid w:val="001823EE"/>
    <w:rsid w:val="00186EBD"/>
    <w:rsid w:val="00187833"/>
    <w:rsid w:val="0019335C"/>
    <w:rsid w:val="001A1257"/>
    <w:rsid w:val="001A46DB"/>
    <w:rsid w:val="001A4980"/>
    <w:rsid w:val="001A611E"/>
    <w:rsid w:val="001B39C5"/>
    <w:rsid w:val="001C0096"/>
    <w:rsid w:val="001C49C1"/>
    <w:rsid w:val="001E6EF3"/>
    <w:rsid w:val="00201E03"/>
    <w:rsid w:val="00203BBD"/>
    <w:rsid w:val="00206955"/>
    <w:rsid w:val="00216414"/>
    <w:rsid w:val="00237BAE"/>
    <w:rsid w:val="00246746"/>
    <w:rsid w:val="00270C39"/>
    <w:rsid w:val="002715D4"/>
    <w:rsid w:val="00276C4A"/>
    <w:rsid w:val="0028544B"/>
    <w:rsid w:val="00287B0D"/>
    <w:rsid w:val="00294191"/>
    <w:rsid w:val="002B3443"/>
    <w:rsid w:val="002B632C"/>
    <w:rsid w:val="002B69D6"/>
    <w:rsid w:val="002B76C8"/>
    <w:rsid w:val="002C5F87"/>
    <w:rsid w:val="002C6031"/>
    <w:rsid w:val="002E0F11"/>
    <w:rsid w:val="002E5D23"/>
    <w:rsid w:val="002F43A7"/>
    <w:rsid w:val="002F4FF1"/>
    <w:rsid w:val="002F6027"/>
    <w:rsid w:val="00303913"/>
    <w:rsid w:val="0031013F"/>
    <w:rsid w:val="003235D1"/>
    <w:rsid w:val="003263CD"/>
    <w:rsid w:val="00327B30"/>
    <w:rsid w:val="00330CB9"/>
    <w:rsid w:val="00341B0D"/>
    <w:rsid w:val="00342CCD"/>
    <w:rsid w:val="00343D08"/>
    <w:rsid w:val="00347D1E"/>
    <w:rsid w:val="00351AB0"/>
    <w:rsid w:val="003724BB"/>
    <w:rsid w:val="0037431E"/>
    <w:rsid w:val="00375FCB"/>
    <w:rsid w:val="00390AE4"/>
    <w:rsid w:val="003A05FA"/>
    <w:rsid w:val="003A0791"/>
    <w:rsid w:val="003A79C9"/>
    <w:rsid w:val="003B2749"/>
    <w:rsid w:val="003B3CDB"/>
    <w:rsid w:val="003C78C6"/>
    <w:rsid w:val="003D44C1"/>
    <w:rsid w:val="003F0690"/>
    <w:rsid w:val="003F33E1"/>
    <w:rsid w:val="003F7BBE"/>
    <w:rsid w:val="0040173F"/>
    <w:rsid w:val="00416863"/>
    <w:rsid w:val="00417A77"/>
    <w:rsid w:val="00424335"/>
    <w:rsid w:val="0042595A"/>
    <w:rsid w:val="00430716"/>
    <w:rsid w:val="0043432D"/>
    <w:rsid w:val="00434CC2"/>
    <w:rsid w:val="00435773"/>
    <w:rsid w:val="00456FF2"/>
    <w:rsid w:val="00486DDB"/>
    <w:rsid w:val="004B0067"/>
    <w:rsid w:val="004B4AA1"/>
    <w:rsid w:val="004B610D"/>
    <w:rsid w:val="004C5FD7"/>
    <w:rsid w:val="004E5F41"/>
    <w:rsid w:val="004F7DD5"/>
    <w:rsid w:val="00512852"/>
    <w:rsid w:val="005224E9"/>
    <w:rsid w:val="005376AB"/>
    <w:rsid w:val="0054677C"/>
    <w:rsid w:val="00551D21"/>
    <w:rsid w:val="00556F6E"/>
    <w:rsid w:val="00566F34"/>
    <w:rsid w:val="00570089"/>
    <w:rsid w:val="0057057A"/>
    <w:rsid w:val="0057351A"/>
    <w:rsid w:val="00573A83"/>
    <w:rsid w:val="005751A5"/>
    <w:rsid w:val="00585D72"/>
    <w:rsid w:val="005908E1"/>
    <w:rsid w:val="005979B1"/>
    <w:rsid w:val="00597D3F"/>
    <w:rsid w:val="005A202C"/>
    <w:rsid w:val="005C404E"/>
    <w:rsid w:val="005D41A8"/>
    <w:rsid w:val="005E30D1"/>
    <w:rsid w:val="005E341E"/>
    <w:rsid w:val="006109AF"/>
    <w:rsid w:val="006179C6"/>
    <w:rsid w:val="00617C73"/>
    <w:rsid w:val="00624018"/>
    <w:rsid w:val="00631E15"/>
    <w:rsid w:val="00666C89"/>
    <w:rsid w:val="006703B6"/>
    <w:rsid w:val="006725F8"/>
    <w:rsid w:val="0068124C"/>
    <w:rsid w:val="00681BC3"/>
    <w:rsid w:val="00683731"/>
    <w:rsid w:val="00684DA2"/>
    <w:rsid w:val="00684F7C"/>
    <w:rsid w:val="00694E6D"/>
    <w:rsid w:val="006E1FA9"/>
    <w:rsid w:val="006E1FAC"/>
    <w:rsid w:val="006E23E8"/>
    <w:rsid w:val="006E2B61"/>
    <w:rsid w:val="006E716D"/>
    <w:rsid w:val="006F75DE"/>
    <w:rsid w:val="00704DCF"/>
    <w:rsid w:val="00705204"/>
    <w:rsid w:val="00706140"/>
    <w:rsid w:val="00706B96"/>
    <w:rsid w:val="0073017C"/>
    <w:rsid w:val="0074079B"/>
    <w:rsid w:val="00742E2B"/>
    <w:rsid w:val="0074315C"/>
    <w:rsid w:val="007554D8"/>
    <w:rsid w:val="00761C6E"/>
    <w:rsid w:val="0076595E"/>
    <w:rsid w:val="007723F4"/>
    <w:rsid w:val="00781F1F"/>
    <w:rsid w:val="007873DC"/>
    <w:rsid w:val="007913DD"/>
    <w:rsid w:val="00792C0A"/>
    <w:rsid w:val="007D0192"/>
    <w:rsid w:val="007D6FD8"/>
    <w:rsid w:val="008014DF"/>
    <w:rsid w:val="0080168B"/>
    <w:rsid w:val="0081267B"/>
    <w:rsid w:val="0081457C"/>
    <w:rsid w:val="00821923"/>
    <w:rsid w:val="00822571"/>
    <w:rsid w:val="00823347"/>
    <w:rsid w:val="0083033F"/>
    <w:rsid w:val="00840F78"/>
    <w:rsid w:val="008437C8"/>
    <w:rsid w:val="008544F1"/>
    <w:rsid w:val="008643FC"/>
    <w:rsid w:val="0087114C"/>
    <w:rsid w:val="00874F26"/>
    <w:rsid w:val="0089049E"/>
    <w:rsid w:val="008A0E79"/>
    <w:rsid w:val="008A114C"/>
    <w:rsid w:val="008A71F3"/>
    <w:rsid w:val="008B5FD1"/>
    <w:rsid w:val="008B7A99"/>
    <w:rsid w:val="008C0B5F"/>
    <w:rsid w:val="008C309D"/>
    <w:rsid w:val="008D1184"/>
    <w:rsid w:val="008D357A"/>
    <w:rsid w:val="008D3EB3"/>
    <w:rsid w:val="008D638E"/>
    <w:rsid w:val="008E514B"/>
    <w:rsid w:val="008F2F51"/>
    <w:rsid w:val="00920BCB"/>
    <w:rsid w:val="009338CB"/>
    <w:rsid w:val="009351D7"/>
    <w:rsid w:val="009365FC"/>
    <w:rsid w:val="0094073B"/>
    <w:rsid w:val="00941DE2"/>
    <w:rsid w:val="00943FD9"/>
    <w:rsid w:val="00955955"/>
    <w:rsid w:val="00963E4F"/>
    <w:rsid w:val="00966FB2"/>
    <w:rsid w:val="009919C2"/>
    <w:rsid w:val="00994F75"/>
    <w:rsid w:val="009A10BA"/>
    <w:rsid w:val="009B1067"/>
    <w:rsid w:val="009B63F0"/>
    <w:rsid w:val="009C08CF"/>
    <w:rsid w:val="009E2202"/>
    <w:rsid w:val="009E4D7C"/>
    <w:rsid w:val="009F4134"/>
    <w:rsid w:val="00A01BA0"/>
    <w:rsid w:val="00A0248C"/>
    <w:rsid w:val="00A02DB6"/>
    <w:rsid w:val="00A14860"/>
    <w:rsid w:val="00A42358"/>
    <w:rsid w:val="00A46D01"/>
    <w:rsid w:val="00A47F1F"/>
    <w:rsid w:val="00A51C5D"/>
    <w:rsid w:val="00A529B4"/>
    <w:rsid w:val="00A57030"/>
    <w:rsid w:val="00A651E1"/>
    <w:rsid w:val="00A665F0"/>
    <w:rsid w:val="00A70A9E"/>
    <w:rsid w:val="00A77C99"/>
    <w:rsid w:val="00A968EC"/>
    <w:rsid w:val="00A9695D"/>
    <w:rsid w:val="00A9773C"/>
    <w:rsid w:val="00AB1BFE"/>
    <w:rsid w:val="00AB1C76"/>
    <w:rsid w:val="00AB486F"/>
    <w:rsid w:val="00AB68D3"/>
    <w:rsid w:val="00AB7734"/>
    <w:rsid w:val="00AC7242"/>
    <w:rsid w:val="00AC7944"/>
    <w:rsid w:val="00AD6A05"/>
    <w:rsid w:val="00AD7EE1"/>
    <w:rsid w:val="00AE477D"/>
    <w:rsid w:val="00B02296"/>
    <w:rsid w:val="00B02E91"/>
    <w:rsid w:val="00B35BBF"/>
    <w:rsid w:val="00B37B82"/>
    <w:rsid w:val="00B4390E"/>
    <w:rsid w:val="00B462DC"/>
    <w:rsid w:val="00B47234"/>
    <w:rsid w:val="00B51CA7"/>
    <w:rsid w:val="00B62426"/>
    <w:rsid w:val="00B64B7E"/>
    <w:rsid w:val="00B9431D"/>
    <w:rsid w:val="00B95AA4"/>
    <w:rsid w:val="00BA1DC0"/>
    <w:rsid w:val="00BA435B"/>
    <w:rsid w:val="00BA7E6B"/>
    <w:rsid w:val="00BB0BBA"/>
    <w:rsid w:val="00BB17E6"/>
    <w:rsid w:val="00BC0E95"/>
    <w:rsid w:val="00BC2D22"/>
    <w:rsid w:val="00BD49F7"/>
    <w:rsid w:val="00BD4A59"/>
    <w:rsid w:val="00BD752B"/>
    <w:rsid w:val="00BE0256"/>
    <w:rsid w:val="00BF3222"/>
    <w:rsid w:val="00BF3945"/>
    <w:rsid w:val="00BF5CD5"/>
    <w:rsid w:val="00BF7D13"/>
    <w:rsid w:val="00C14BD5"/>
    <w:rsid w:val="00C21EA2"/>
    <w:rsid w:val="00C2555B"/>
    <w:rsid w:val="00C41F51"/>
    <w:rsid w:val="00C42E11"/>
    <w:rsid w:val="00C55B1A"/>
    <w:rsid w:val="00C55DDF"/>
    <w:rsid w:val="00C6193C"/>
    <w:rsid w:val="00C642D1"/>
    <w:rsid w:val="00C64CAF"/>
    <w:rsid w:val="00C7657F"/>
    <w:rsid w:val="00C833EF"/>
    <w:rsid w:val="00C909AC"/>
    <w:rsid w:val="00C942BD"/>
    <w:rsid w:val="00C955E9"/>
    <w:rsid w:val="00CB0F82"/>
    <w:rsid w:val="00CB253E"/>
    <w:rsid w:val="00CB5B03"/>
    <w:rsid w:val="00CE6A87"/>
    <w:rsid w:val="00D03D71"/>
    <w:rsid w:val="00D042ED"/>
    <w:rsid w:val="00D16719"/>
    <w:rsid w:val="00D1765D"/>
    <w:rsid w:val="00D2589E"/>
    <w:rsid w:val="00D27168"/>
    <w:rsid w:val="00D35E66"/>
    <w:rsid w:val="00D414BE"/>
    <w:rsid w:val="00D42EAC"/>
    <w:rsid w:val="00D61CEC"/>
    <w:rsid w:val="00D62693"/>
    <w:rsid w:val="00D6344F"/>
    <w:rsid w:val="00D73343"/>
    <w:rsid w:val="00D742E4"/>
    <w:rsid w:val="00D76C36"/>
    <w:rsid w:val="00D7741E"/>
    <w:rsid w:val="00D808F0"/>
    <w:rsid w:val="00D821D4"/>
    <w:rsid w:val="00D83B85"/>
    <w:rsid w:val="00D964A2"/>
    <w:rsid w:val="00DA0962"/>
    <w:rsid w:val="00DB52AA"/>
    <w:rsid w:val="00DB6483"/>
    <w:rsid w:val="00DE1581"/>
    <w:rsid w:val="00DE1BE0"/>
    <w:rsid w:val="00E00310"/>
    <w:rsid w:val="00E0046E"/>
    <w:rsid w:val="00E01AE9"/>
    <w:rsid w:val="00E03467"/>
    <w:rsid w:val="00E035D7"/>
    <w:rsid w:val="00E07BA8"/>
    <w:rsid w:val="00E23422"/>
    <w:rsid w:val="00E27FA2"/>
    <w:rsid w:val="00E309D6"/>
    <w:rsid w:val="00E365F8"/>
    <w:rsid w:val="00E43F53"/>
    <w:rsid w:val="00E45297"/>
    <w:rsid w:val="00E47C98"/>
    <w:rsid w:val="00E65B27"/>
    <w:rsid w:val="00E70DCF"/>
    <w:rsid w:val="00E900A1"/>
    <w:rsid w:val="00E910BB"/>
    <w:rsid w:val="00EA673D"/>
    <w:rsid w:val="00EB1DC8"/>
    <w:rsid w:val="00EB3646"/>
    <w:rsid w:val="00EC0CEB"/>
    <w:rsid w:val="00EC4DAB"/>
    <w:rsid w:val="00EE26DD"/>
    <w:rsid w:val="00EF1AAD"/>
    <w:rsid w:val="00EF2CB0"/>
    <w:rsid w:val="00F051FC"/>
    <w:rsid w:val="00F10921"/>
    <w:rsid w:val="00F10C55"/>
    <w:rsid w:val="00F1469E"/>
    <w:rsid w:val="00F20F40"/>
    <w:rsid w:val="00F42B9F"/>
    <w:rsid w:val="00F46AC3"/>
    <w:rsid w:val="00F50BBE"/>
    <w:rsid w:val="00F51ADF"/>
    <w:rsid w:val="00F5447B"/>
    <w:rsid w:val="00F572FB"/>
    <w:rsid w:val="00F632A6"/>
    <w:rsid w:val="00F674FA"/>
    <w:rsid w:val="00F70898"/>
    <w:rsid w:val="00F75757"/>
    <w:rsid w:val="00F77349"/>
    <w:rsid w:val="00F7741D"/>
    <w:rsid w:val="00F80709"/>
    <w:rsid w:val="00F91D8C"/>
    <w:rsid w:val="00F923BA"/>
    <w:rsid w:val="00FA48DC"/>
    <w:rsid w:val="00FB4110"/>
    <w:rsid w:val="00FB67F4"/>
    <w:rsid w:val="00FC2CF0"/>
    <w:rsid w:val="00FC3C9D"/>
    <w:rsid w:val="00FD3FC7"/>
    <w:rsid w:val="00FE4177"/>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41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067"/>
    <w:pPr>
      <w:spacing w:after="0" w:line="240" w:lineRule="auto"/>
      <w:ind w:left="0" w:firstLine="0"/>
      <w:outlineLvl w:val="0"/>
    </w:pPr>
    <w:rPr>
      <w:rFonts w:ascii="Calibri" w:eastAsia="Calibri" w:hAnsi="Calibri" w:cs="Calibri"/>
      <w:b/>
      <w:bCs/>
      <w:color w:val="FFFFFF" w:themeColor="background1"/>
      <w:spacing w:val="-14"/>
      <w:position w:val="2"/>
      <w:sz w:val="72"/>
      <w:szCs w:val="52"/>
    </w:rPr>
  </w:style>
  <w:style w:type="paragraph" w:styleId="Heading2">
    <w:name w:val="heading 2"/>
    <w:basedOn w:val="Normal"/>
    <w:next w:val="Normal"/>
    <w:link w:val="Heading2Char"/>
    <w:uiPriority w:val="9"/>
    <w:unhideWhenUsed/>
    <w:qFormat/>
    <w:rsid w:val="004B0067"/>
    <w:pPr>
      <w:shd w:val="clear" w:color="auto" w:fill="7F7F7F" w:themeFill="text1" w:themeFillTint="80"/>
      <w:spacing w:after="0" w:line="240" w:lineRule="auto"/>
      <w:ind w:left="0" w:firstLine="0"/>
      <w:outlineLvl w:val="1"/>
    </w:pPr>
    <w:rPr>
      <w:color w:val="F2F2F2" w:themeColor="background1" w:themeShade="F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3A7"/>
    <w:pPr>
      <w:contextualSpacing/>
    </w:pPr>
  </w:style>
  <w:style w:type="paragraph" w:customStyle="1" w:styleId="Default">
    <w:name w:val="Default"/>
    <w:rsid w:val="00F75757"/>
    <w:pPr>
      <w:autoSpaceDE w:val="0"/>
      <w:autoSpaceDN w:val="0"/>
      <w:adjustRightInd w:val="0"/>
      <w:spacing w:after="0" w:line="240" w:lineRule="auto"/>
      <w:ind w:left="0" w:firstLine="0"/>
    </w:pPr>
    <w:rPr>
      <w:rFonts w:ascii="Calibri" w:hAnsi="Calibri" w:cs="Calibri"/>
      <w:color w:val="000000"/>
      <w:sz w:val="24"/>
      <w:szCs w:val="24"/>
    </w:rPr>
  </w:style>
  <w:style w:type="paragraph" w:styleId="Header">
    <w:name w:val="header"/>
    <w:basedOn w:val="Normal"/>
    <w:link w:val="HeaderChar"/>
    <w:uiPriority w:val="99"/>
    <w:unhideWhenUsed/>
    <w:rsid w:val="008E5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14B"/>
  </w:style>
  <w:style w:type="paragraph" w:styleId="Footer">
    <w:name w:val="footer"/>
    <w:basedOn w:val="Normal"/>
    <w:link w:val="FooterChar"/>
    <w:uiPriority w:val="99"/>
    <w:unhideWhenUsed/>
    <w:rsid w:val="008E5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14B"/>
  </w:style>
  <w:style w:type="character" w:customStyle="1" w:styleId="Heading1Char">
    <w:name w:val="Heading 1 Char"/>
    <w:basedOn w:val="DefaultParagraphFont"/>
    <w:link w:val="Heading1"/>
    <w:uiPriority w:val="9"/>
    <w:rsid w:val="004B0067"/>
    <w:rPr>
      <w:rFonts w:ascii="Calibri" w:eastAsia="Calibri" w:hAnsi="Calibri" w:cs="Calibri"/>
      <w:b/>
      <w:bCs/>
      <w:color w:val="FFFFFF" w:themeColor="background1"/>
      <w:spacing w:val="-14"/>
      <w:position w:val="2"/>
      <w:sz w:val="72"/>
      <w:szCs w:val="52"/>
    </w:rPr>
  </w:style>
  <w:style w:type="character" w:customStyle="1" w:styleId="Heading2Char">
    <w:name w:val="Heading 2 Char"/>
    <w:basedOn w:val="DefaultParagraphFont"/>
    <w:link w:val="Heading2"/>
    <w:uiPriority w:val="9"/>
    <w:rsid w:val="004B0067"/>
    <w:rPr>
      <w:color w:val="F2F2F2" w:themeColor="background1" w:themeShade="F2"/>
      <w:sz w:val="40"/>
      <w:szCs w:val="40"/>
      <w:shd w:val="clear" w:color="auto" w:fill="7F7F7F" w:themeFill="text1" w:themeFillTint="80"/>
    </w:rPr>
  </w:style>
  <w:style w:type="table" w:styleId="TableGrid">
    <w:name w:val="Table Grid"/>
    <w:basedOn w:val="TableNormal"/>
    <w:uiPriority w:val="39"/>
    <w:rsid w:val="004B0067"/>
    <w:pPr>
      <w:spacing w:after="0" w:line="240" w:lineRule="auto"/>
      <w:ind w:left="0" w:firstLine="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432D"/>
    <w:pPr>
      <w:spacing w:after="0" w:line="240" w:lineRule="auto"/>
      <w:ind w:left="0" w:firstLine="0"/>
    </w:pPr>
  </w:style>
  <w:style w:type="character" w:styleId="CommentReference">
    <w:name w:val="annotation reference"/>
    <w:basedOn w:val="DefaultParagraphFont"/>
    <w:uiPriority w:val="99"/>
    <w:semiHidden/>
    <w:unhideWhenUsed/>
    <w:rsid w:val="0043432D"/>
    <w:rPr>
      <w:sz w:val="16"/>
      <w:szCs w:val="16"/>
    </w:rPr>
  </w:style>
  <w:style w:type="paragraph" w:styleId="CommentText">
    <w:name w:val="annotation text"/>
    <w:basedOn w:val="Normal"/>
    <w:link w:val="CommentTextChar"/>
    <w:uiPriority w:val="99"/>
    <w:unhideWhenUsed/>
    <w:rsid w:val="0043432D"/>
    <w:pPr>
      <w:spacing w:line="240" w:lineRule="auto"/>
    </w:pPr>
    <w:rPr>
      <w:sz w:val="20"/>
      <w:szCs w:val="20"/>
    </w:rPr>
  </w:style>
  <w:style w:type="character" w:customStyle="1" w:styleId="CommentTextChar">
    <w:name w:val="Comment Text Char"/>
    <w:basedOn w:val="DefaultParagraphFont"/>
    <w:link w:val="CommentText"/>
    <w:uiPriority w:val="99"/>
    <w:rsid w:val="0043432D"/>
    <w:rPr>
      <w:sz w:val="20"/>
      <w:szCs w:val="20"/>
    </w:rPr>
  </w:style>
  <w:style w:type="paragraph" w:styleId="CommentSubject">
    <w:name w:val="annotation subject"/>
    <w:basedOn w:val="CommentText"/>
    <w:next w:val="CommentText"/>
    <w:link w:val="CommentSubjectChar"/>
    <w:uiPriority w:val="99"/>
    <w:semiHidden/>
    <w:unhideWhenUsed/>
    <w:rsid w:val="0043432D"/>
    <w:rPr>
      <w:b/>
      <w:bCs/>
    </w:rPr>
  </w:style>
  <w:style w:type="character" w:customStyle="1" w:styleId="CommentSubjectChar">
    <w:name w:val="Comment Subject Char"/>
    <w:basedOn w:val="CommentTextChar"/>
    <w:link w:val="CommentSubject"/>
    <w:uiPriority w:val="99"/>
    <w:semiHidden/>
    <w:rsid w:val="0043432D"/>
    <w:rPr>
      <w:b/>
      <w:bCs/>
      <w:sz w:val="20"/>
      <w:szCs w:val="20"/>
    </w:rPr>
  </w:style>
  <w:style w:type="paragraph" w:styleId="NormalWeb">
    <w:name w:val="Normal (Web)"/>
    <w:basedOn w:val="Normal"/>
    <w:uiPriority w:val="99"/>
    <w:semiHidden/>
    <w:unhideWhenUsed/>
    <w:rsid w:val="00BA1DC0"/>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Hyperlink">
    <w:name w:val="Hyperlink"/>
    <w:rsid w:val="000A7984"/>
    <w:rPr>
      <w:color w:val="0000FF"/>
      <w:u w:val="single"/>
    </w:rPr>
  </w:style>
  <w:style w:type="paragraph" w:styleId="NoSpacing">
    <w:name w:val="No Spacing"/>
    <w:uiPriority w:val="1"/>
    <w:qFormat/>
    <w:rsid w:val="00874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0258">
      <w:bodyDiv w:val="1"/>
      <w:marLeft w:val="0"/>
      <w:marRight w:val="0"/>
      <w:marTop w:val="0"/>
      <w:marBottom w:val="0"/>
      <w:divBdr>
        <w:top w:val="none" w:sz="0" w:space="0" w:color="auto"/>
        <w:left w:val="none" w:sz="0" w:space="0" w:color="auto"/>
        <w:bottom w:val="none" w:sz="0" w:space="0" w:color="auto"/>
        <w:right w:val="none" w:sz="0" w:space="0" w:color="auto"/>
      </w:divBdr>
    </w:div>
    <w:div w:id="287131093">
      <w:bodyDiv w:val="1"/>
      <w:marLeft w:val="0"/>
      <w:marRight w:val="0"/>
      <w:marTop w:val="0"/>
      <w:marBottom w:val="0"/>
      <w:divBdr>
        <w:top w:val="none" w:sz="0" w:space="0" w:color="auto"/>
        <w:left w:val="none" w:sz="0" w:space="0" w:color="auto"/>
        <w:bottom w:val="none" w:sz="0" w:space="0" w:color="auto"/>
        <w:right w:val="none" w:sz="0" w:space="0" w:color="auto"/>
      </w:divBdr>
    </w:div>
    <w:div w:id="647824665">
      <w:bodyDiv w:val="1"/>
      <w:marLeft w:val="0"/>
      <w:marRight w:val="0"/>
      <w:marTop w:val="0"/>
      <w:marBottom w:val="0"/>
      <w:divBdr>
        <w:top w:val="none" w:sz="0" w:space="0" w:color="auto"/>
        <w:left w:val="none" w:sz="0" w:space="0" w:color="auto"/>
        <w:bottom w:val="none" w:sz="0" w:space="0" w:color="auto"/>
        <w:right w:val="none" w:sz="0" w:space="0" w:color="auto"/>
      </w:divBdr>
    </w:div>
    <w:div w:id="14826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nationalserviceresources.org/node/17592" TargetMode="External"/><Relationship Id="rId4" Type="http://schemas.openxmlformats.org/officeDocument/2006/relationships/settings" Target="settings.xml"/><Relationship Id="rId9" Type="http://schemas.openxmlformats.org/officeDocument/2006/relationships/hyperlink" Target="https://haiweb.org/publication/measuring-medicine-prices-availability-affordability-and-price-components-2nd-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09843A62F9E64082D475D70A5816C1" ma:contentTypeVersion="12" ma:contentTypeDescription="Create a new document." ma:contentTypeScope="" ma:versionID="02fc37d3fe4fec728450cac8296d5c7e">
  <xsd:schema xmlns:xsd="http://www.w3.org/2001/XMLSchema" xmlns:xs="http://www.w3.org/2001/XMLSchema" xmlns:p="http://schemas.microsoft.com/office/2006/metadata/properties" xmlns:ns2="668e480f-ec8f-4652-b656-ed35dea04eb6" xmlns:ns3="0d841d9d-80e8-4c3c-b18e-8392ca19111e" targetNamespace="http://schemas.microsoft.com/office/2006/metadata/properties" ma:root="true" ma:fieldsID="476d1711abd7a126e9241a4be089a77e" ns2:_="" ns3:_="">
    <xsd:import namespace="668e480f-ec8f-4652-b656-ed35dea04eb6"/>
    <xsd:import namespace="0d841d9d-80e8-4c3c-b18e-8392ca191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e480f-ec8f-4652-b656-ed35dea04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1d9d-80e8-4c3c-b18e-8392ca1911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C70E5-654E-43FD-8AB1-73E10A077B0A}">
  <ds:schemaRefs>
    <ds:schemaRef ds:uri="http://schemas.openxmlformats.org/officeDocument/2006/bibliography"/>
  </ds:schemaRefs>
</ds:datastoreItem>
</file>

<file path=customXml/itemProps2.xml><?xml version="1.0" encoding="utf-8"?>
<ds:datastoreItem xmlns:ds="http://schemas.openxmlformats.org/officeDocument/2006/customXml" ds:itemID="{947F632B-88EA-4C04-915C-655830CC59EF}"/>
</file>

<file path=customXml/itemProps3.xml><?xml version="1.0" encoding="utf-8"?>
<ds:datastoreItem xmlns:ds="http://schemas.openxmlformats.org/officeDocument/2006/customXml" ds:itemID="{71581B43-A2A4-470E-9192-3D38E151AB0A}"/>
</file>

<file path=customXml/itemProps4.xml><?xml version="1.0" encoding="utf-8"?>
<ds:datastoreItem xmlns:ds="http://schemas.openxmlformats.org/officeDocument/2006/customXml" ds:itemID="{2743D9AA-88F9-4EDF-8DBC-832D82D8B13D}"/>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2259</Characters>
  <Application>Microsoft Office Word</Application>
  <DocSecurity>0</DocSecurity>
  <Lines>98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2022-03-31T06:18:00Z</dcterms:created>
  <dcterms:modified xsi:type="dcterms:W3CDTF">2022-03-31T06:18:00Z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0x0101008109843A62F9E64082D475D70A5816C1</vt:lpwstr>
  </property>
</Properties>
</file>