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511"/>
        <w:gridCol w:w="3438"/>
      </w:tblGrid>
      <w:tr w:rsidR="001672A1" w:rsidRPr="00CA6E3E" w14:paraId="29A324AA" w14:textId="77777777" w:rsidTr="001672A1">
        <w:trPr>
          <w:trHeight w:val="1087"/>
        </w:trPr>
        <w:tc>
          <w:tcPr>
            <w:tcW w:w="7511" w:type="dxa"/>
            <w:shd w:val="clear" w:color="auto" w:fill="FF7600"/>
            <w:vAlign w:val="center"/>
          </w:tcPr>
          <w:p w14:paraId="11EDD6F5" w14:textId="7C0D3365" w:rsidR="001672A1" w:rsidRPr="00065622" w:rsidRDefault="001672A1" w:rsidP="00B217F5">
            <w:pPr>
              <w:rPr>
                <w:b/>
                <w:bCs/>
              </w:rPr>
            </w:pPr>
            <w:r w:rsidRPr="001672A1">
              <w:rPr>
                <w:rFonts w:eastAsia="Times New Roman" w:cstheme="minorHAnsi"/>
                <w:b/>
                <w:bCs/>
                <w:color w:val="FFFFFF" w:themeColor="background1"/>
                <w:sz w:val="48"/>
                <w:szCs w:val="48"/>
              </w:rPr>
              <w:t>Using Evaluation Data with a Health Equity Lens</w:t>
            </w:r>
          </w:p>
        </w:tc>
        <w:tc>
          <w:tcPr>
            <w:tcW w:w="3438" w:type="dxa"/>
            <w:shd w:val="clear" w:color="auto" w:fill="FF7600"/>
            <w:vAlign w:val="center"/>
          </w:tcPr>
          <w:p w14:paraId="6C5C3D28" w14:textId="77777777" w:rsidR="001672A1" w:rsidRPr="00CA6E3E" w:rsidRDefault="001672A1" w:rsidP="00B217F5">
            <w:pPr>
              <w:spacing w:before="240"/>
              <w:jc w:val="right"/>
            </w:pPr>
            <w:r w:rsidRPr="00CA6E3E">
              <w:rPr>
                <w:noProof/>
              </w:rPr>
              <w:drawing>
                <wp:anchor distT="0" distB="0" distL="114300" distR="114300" simplePos="0" relativeHeight="251660288" behindDoc="0" locked="0" layoutInCell="1" allowOverlap="1" wp14:anchorId="72C24E6B" wp14:editId="234755B6">
                  <wp:simplePos x="0" y="0"/>
                  <wp:positionH relativeFrom="column">
                    <wp:posOffset>673735</wp:posOffset>
                  </wp:positionH>
                  <wp:positionV relativeFrom="paragraph">
                    <wp:posOffset>-18415</wp:posOffset>
                  </wp:positionV>
                  <wp:extent cx="1404620" cy="556260"/>
                  <wp:effectExtent l="0" t="0" r="5080" b="0"/>
                  <wp:wrapNone/>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4620" cy="556260"/>
                          </a:xfrm>
                          <a:prstGeom prst="rect">
                            <a:avLst/>
                          </a:prstGeom>
                        </pic:spPr>
                      </pic:pic>
                    </a:graphicData>
                  </a:graphic>
                  <wp14:sizeRelH relativeFrom="margin">
                    <wp14:pctWidth>0</wp14:pctWidth>
                  </wp14:sizeRelH>
                  <wp14:sizeRelV relativeFrom="margin">
                    <wp14:pctHeight>0</wp14:pctHeight>
                  </wp14:sizeRelV>
                </wp:anchor>
              </w:drawing>
            </w:r>
          </w:p>
        </w:tc>
      </w:tr>
    </w:tbl>
    <w:p w14:paraId="1D394FAB" w14:textId="77777777" w:rsidR="004B0067" w:rsidRPr="00327B30" w:rsidRDefault="004B0067" w:rsidP="004B0067">
      <w:pPr>
        <w:rPr>
          <w:sz w:val="12"/>
          <w:szCs w:val="12"/>
        </w:rPr>
      </w:pPr>
    </w:p>
    <w:p w14:paraId="4896FE38" w14:textId="5FBBDFBC" w:rsidR="00A02DB6" w:rsidRPr="00EF2CB0" w:rsidRDefault="00A02DB6" w:rsidP="00F95CCD">
      <w:pPr>
        <w:pStyle w:val="Default"/>
        <w:spacing w:after="120" w:line="259" w:lineRule="auto"/>
        <w:ind w:left="288" w:right="288"/>
        <w:rPr>
          <w:sz w:val="22"/>
          <w:szCs w:val="22"/>
        </w:rPr>
      </w:pPr>
      <w:r w:rsidRPr="00EF2CB0">
        <w:rPr>
          <w:sz w:val="22"/>
          <w:szCs w:val="22"/>
        </w:rPr>
        <w:t xml:space="preserve">What if there was a way to know </w:t>
      </w:r>
      <w:r w:rsidRPr="003A05FA">
        <w:rPr>
          <w:i/>
          <w:iCs/>
          <w:sz w:val="22"/>
          <w:szCs w:val="22"/>
        </w:rPr>
        <w:t>when</w:t>
      </w:r>
      <w:r w:rsidRPr="00EF2CB0">
        <w:rPr>
          <w:sz w:val="22"/>
          <w:szCs w:val="22"/>
        </w:rPr>
        <w:t xml:space="preserve">, </w:t>
      </w:r>
      <w:r w:rsidRPr="003A05FA">
        <w:rPr>
          <w:i/>
          <w:iCs/>
          <w:sz w:val="22"/>
          <w:szCs w:val="22"/>
        </w:rPr>
        <w:t>where</w:t>
      </w:r>
      <w:r w:rsidRPr="00EF2CB0">
        <w:rPr>
          <w:sz w:val="22"/>
          <w:szCs w:val="22"/>
        </w:rPr>
        <w:t xml:space="preserve"> and even </w:t>
      </w:r>
      <w:r w:rsidRPr="003A05FA">
        <w:rPr>
          <w:i/>
          <w:iCs/>
          <w:sz w:val="22"/>
          <w:szCs w:val="22"/>
        </w:rPr>
        <w:t>how</w:t>
      </w:r>
      <w:r w:rsidRPr="00EF2CB0">
        <w:rPr>
          <w:sz w:val="22"/>
          <w:szCs w:val="22"/>
        </w:rPr>
        <w:t xml:space="preserve"> your project </w:t>
      </w:r>
      <w:r w:rsidR="00F10C55">
        <w:rPr>
          <w:sz w:val="22"/>
          <w:szCs w:val="22"/>
        </w:rPr>
        <w:t xml:space="preserve">should </w:t>
      </w:r>
      <w:r w:rsidRPr="00EF2CB0">
        <w:rPr>
          <w:sz w:val="22"/>
          <w:szCs w:val="22"/>
        </w:rPr>
        <w:t xml:space="preserve">take its next steps toward achieving policy goals and improving health </w:t>
      </w:r>
      <w:r w:rsidR="001572CE">
        <w:rPr>
          <w:sz w:val="22"/>
          <w:szCs w:val="22"/>
        </w:rPr>
        <w:t>equity in</w:t>
      </w:r>
      <w:r w:rsidRPr="00EF2CB0">
        <w:rPr>
          <w:sz w:val="22"/>
          <w:szCs w:val="22"/>
        </w:rPr>
        <w:t xml:space="preserve"> your community?</w:t>
      </w:r>
    </w:p>
    <w:p w14:paraId="63A377E5" w14:textId="0DA02524" w:rsidR="00A02DB6" w:rsidRDefault="00A02DB6" w:rsidP="00F95CCD">
      <w:pPr>
        <w:pStyle w:val="Default"/>
        <w:spacing w:after="120" w:line="259" w:lineRule="auto"/>
        <w:ind w:left="288" w:right="288"/>
        <w:rPr>
          <w:sz w:val="22"/>
          <w:szCs w:val="22"/>
        </w:rPr>
      </w:pPr>
      <w:r w:rsidRPr="00EF2CB0">
        <w:rPr>
          <w:sz w:val="22"/>
          <w:szCs w:val="22"/>
        </w:rPr>
        <w:t>Actually, there is a way! If done properly, your background research and evaluation results are like your project’s own crystal ball to provide clues for how to proceed. Here are some common ways to use evaluation findings</w:t>
      </w:r>
      <w:r w:rsidR="0037431E">
        <w:rPr>
          <w:sz w:val="22"/>
          <w:szCs w:val="22"/>
        </w:rPr>
        <w:t>,</w:t>
      </w:r>
      <w:r w:rsidR="0043432D">
        <w:rPr>
          <w:sz w:val="22"/>
          <w:szCs w:val="22"/>
        </w:rPr>
        <w:t xml:space="preserve"> based on the</w:t>
      </w:r>
      <w:r>
        <w:rPr>
          <w:sz w:val="22"/>
          <w:szCs w:val="22"/>
        </w:rPr>
        <w:t xml:space="preserve"> evaluation activity type.</w:t>
      </w:r>
    </w:p>
    <w:p w14:paraId="2CD8A1B7" w14:textId="77777777" w:rsidR="006E2B61" w:rsidRPr="00087023" w:rsidRDefault="006E2B61" w:rsidP="00F95CCD">
      <w:pPr>
        <w:pStyle w:val="Default"/>
        <w:spacing w:after="120" w:line="259" w:lineRule="auto"/>
        <w:ind w:left="288" w:right="288"/>
        <w:rPr>
          <w:sz w:val="12"/>
          <w:szCs w:val="12"/>
        </w:rPr>
      </w:pPr>
    </w:p>
    <w:p w14:paraId="3AB2259E" w14:textId="272CC5F9" w:rsidR="004B0067" w:rsidRPr="00CA6E3E" w:rsidRDefault="00A02DB6" w:rsidP="00F95CCD">
      <w:pPr>
        <w:pStyle w:val="Heading2"/>
        <w:spacing w:after="240" w:line="276" w:lineRule="auto"/>
        <w:ind w:left="288" w:right="288"/>
      </w:pPr>
      <w:r>
        <w:t>Focus Groups</w:t>
      </w:r>
    </w:p>
    <w:p w14:paraId="5590F162" w14:textId="23866D59" w:rsidR="00CB5B03" w:rsidRPr="00EF2CB0" w:rsidRDefault="00684DA2" w:rsidP="00F95CCD">
      <w:pPr>
        <w:pStyle w:val="Default"/>
        <w:spacing w:after="120" w:line="259" w:lineRule="auto"/>
        <w:ind w:left="288" w:right="288"/>
        <w:rPr>
          <w:sz w:val="22"/>
          <w:szCs w:val="22"/>
        </w:rPr>
      </w:pPr>
      <w:r w:rsidRPr="00EF2CB0">
        <w:rPr>
          <w:sz w:val="22"/>
          <w:szCs w:val="22"/>
        </w:rPr>
        <w:t xml:space="preserve">Focus groups are a great way for a project to learn about </w:t>
      </w:r>
      <w:r w:rsidR="009351D7" w:rsidRPr="00EF2CB0">
        <w:rPr>
          <w:sz w:val="22"/>
          <w:szCs w:val="22"/>
        </w:rPr>
        <w:t xml:space="preserve">why people feel the way they do about </w:t>
      </w:r>
      <w:r w:rsidR="00303913" w:rsidRPr="00EF2CB0">
        <w:rPr>
          <w:sz w:val="22"/>
          <w:szCs w:val="22"/>
        </w:rPr>
        <w:t xml:space="preserve">something. </w:t>
      </w:r>
      <w:r w:rsidR="00EA673D">
        <w:rPr>
          <w:sz w:val="22"/>
          <w:szCs w:val="22"/>
        </w:rPr>
        <w:t>The s</w:t>
      </w:r>
      <w:r w:rsidR="008014DF" w:rsidRPr="00EF2CB0">
        <w:rPr>
          <w:sz w:val="22"/>
          <w:szCs w:val="22"/>
        </w:rPr>
        <w:t>emi-structured discussion</w:t>
      </w:r>
      <w:r w:rsidR="00EA673D">
        <w:rPr>
          <w:sz w:val="22"/>
          <w:szCs w:val="22"/>
        </w:rPr>
        <w:t xml:space="preserve"> format of a focus group</w:t>
      </w:r>
      <w:r w:rsidR="008014DF" w:rsidRPr="00EF2CB0">
        <w:rPr>
          <w:sz w:val="22"/>
          <w:szCs w:val="22"/>
        </w:rPr>
        <w:t xml:space="preserve"> allows facilitators to probe</w:t>
      </w:r>
      <w:r w:rsidR="00706140" w:rsidRPr="00EF2CB0">
        <w:rPr>
          <w:sz w:val="22"/>
          <w:szCs w:val="22"/>
        </w:rPr>
        <w:t xml:space="preserve"> the</w:t>
      </w:r>
      <w:r w:rsidR="008014DF" w:rsidRPr="00EF2CB0">
        <w:rPr>
          <w:sz w:val="22"/>
          <w:szCs w:val="22"/>
        </w:rPr>
        <w:t xml:space="preserve"> </w:t>
      </w:r>
      <w:r w:rsidR="009351D7" w:rsidRPr="00EF2CB0">
        <w:rPr>
          <w:sz w:val="22"/>
          <w:szCs w:val="22"/>
        </w:rPr>
        <w:t xml:space="preserve">sentiments, rationale or </w:t>
      </w:r>
      <w:r w:rsidR="00706140" w:rsidRPr="00EF2CB0">
        <w:rPr>
          <w:sz w:val="22"/>
          <w:szCs w:val="22"/>
        </w:rPr>
        <w:t>conditions of a population or an issue</w:t>
      </w:r>
      <w:r w:rsidR="00341B0D">
        <w:rPr>
          <w:sz w:val="22"/>
          <w:szCs w:val="22"/>
        </w:rPr>
        <w:t xml:space="preserve">. </w:t>
      </w:r>
      <w:r w:rsidR="00E65B27" w:rsidRPr="00EF2CB0">
        <w:rPr>
          <w:sz w:val="22"/>
          <w:szCs w:val="22"/>
        </w:rPr>
        <w:t>The qualitative d</w:t>
      </w:r>
      <w:r w:rsidR="00706140" w:rsidRPr="00EF2CB0">
        <w:rPr>
          <w:sz w:val="22"/>
          <w:szCs w:val="22"/>
        </w:rPr>
        <w:t>ata can</w:t>
      </w:r>
      <w:r w:rsidR="00706B96" w:rsidRPr="00EF2CB0">
        <w:rPr>
          <w:sz w:val="22"/>
          <w:szCs w:val="22"/>
        </w:rPr>
        <w:t>:</w:t>
      </w:r>
      <w:r w:rsidR="00706140" w:rsidRPr="00EF2CB0">
        <w:rPr>
          <w:sz w:val="22"/>
          <w:szCs w:val="22"/>
        </w:rPr>
        <w:t xml:space="preserve"> </w:t>
      </w:r>
      <w:r w:rsidR="003F7BBE">
        <w:rPr>
          <w:sz w:val="22"/>
          <w:szCs w:val="22"/>
        </w:rPr>
        <w:t>guide</w:t>
      </w:r>
      <w:r w:rsidR="00706140" w:rsidRPr="00EF2CB0">
        <w:rPr>
          <w:sz w:val="22"/>
          <w:szCs w:val="22"/>
        </w:rPr>
        <w:t xml:space="preserve"> </w:t>
      </w:r>
      <w:r w:rsidR="0042595A" w:rsidRPr="00EF2CB0">
        <w:rPr>
          <w:sz w:val="22"/>
          <w:szCs w:val="22"/>
        </w:rPr>
        <w:t xml:space="preserve">project strategies for entering or working with a particular community or population; </w:t>
      </w:r>
      <w:r w:rsidR="00EA673D">
        <w:rPr>
          <w:sz w:val="22"/>
          <w:szCs w:val="22"/>
        </w:rPr>
        <w:t xml:space="preserve">identify </w:t>
      </w:r>
      <w:r w:rsidR="0042595A" w:rsidRPr="00EF2CB0">
        <w:rPr>
          <w:sz w:val="22"/>
          <w:szCs w:val="22"/>
        </w:rPr>
        <w:t xml:space="preserve">how best to frame an issue or argument; </w:t>
      </w:r>
      <w:r w:rsidR="005C404E" w:rsidRPr="00EF2CB0">
        <w:rPr>
          <w:sz w:val="22"/>
          <w:szCs w:val="22"/>
        </w:rPr>
        <w:t xml:space="preserve">find points of connection or shared interest; </w:t>
      </w:r>
      <w:r w:rsidR="00706B96" w:rsidRPr="00EF2CB0">
        <w:rPr>
          <w:sz w:val="22"/>
          <w:szCs w:val="22"/>
        </w:rPr>
        <w:t>identify</w:t>
      </w:r>
      <w:r w:rsidR="00E65B27" w:rsidRPr="00EF2CB0">
        <w:rPr>
          <w:sz w:val="22"/>
          <w:szCs w:val="22"/>
        </w:rPr>
        <w:t xml:space="preserve"> </w:t>
      </w:r>
      <w:r w:rsidR="00FE4177">
        <w:rPr>
          <w:sz w:val="22"/>
          <w:szCs w:val="22"/>
        </w:rPr>
        <w:t xml:space="preserve">the most </w:t>
      </w:r>
      <w:r w:rsidR="00C2555B">
        <w:rPr>
          <w:sz w:val="22"/>
          <w:szCs w:val="22"/>
        </w:rPr>
        <w:t>successful</w:t>
      </w:r>
      <w:r w:rsidR="00E65B27" w:rsidRPr="00EF2CB0">
        <w:rPr>
          <w:sz w:val="22"/>
          <w:szCs w:val="22"/>
        </w:rPr>
        <w:t xml:space="preserve"> </w:t>
      </w:r>
      <w:r w:rsidR="00E365F8">
        <w:rPr>
          <w:sz w:val="22"/>
          <w:szCs w:val="22"/>
        </w:rPr>
        <w:t>method</w:t>
      </w:r>
      <w:r w:rsidR="00E65B27" w:rsidRPr="00EF2CB0">
        <w:rPr>
          <w:sz w:val="22"/>
          <w:szCs w:val="22"/>
        </w:rPr>
        <w:t xml:space="preserve">s; </w:t>
      </w:r>
      <w:r w:rsidR="0043432D">
        <w:rPr>
          <w:sz w:val="22"/>
          <w:szCs w:val="22"/>
        </w:rPr>
        <w:t xml:space="preserve">or </w:t>
      </w:r>
      <w:r w:rsidR="00E65B27" w:rsidRPr="00EF2CB0">
        <w:rPr>
          <w:sz w:val="22"/>
          <w:szCs w:val="22"/>
        </w:rPr>
        <w:t>learn why something did not work and how to improve it.</w:t>
      </w:r>
    </w:p>
    <w:p w14:paraId="37B76D36" w14:textId="77777777" w:rsidR="008544F1" w:rsidRPr="00087023" w:rsidRDefault="008544F1" w:rsidP="00F95CCD">
      <w:pPr>
        <w:pStyle w:val="Default"/>
        <w:spacing w:after="120" w:line="259" w:lineRule="auto"/>
        <w:ind w:left="288" w:right="288"/>
        <w:rPr>
          <w:sz w:val="12"/>
          <w:szCs w:val="12"/>
        </w:rPr>
      </w:pPr>
    </w:p>
    <w:p w14:paraId="25F4BFA6" w14:textId="0DF25BFF" w:rsidR="00A02DB6" w:rsidRPr="00CA6E3E" w:rsidRDefault="00A02DB6" w:rsidP="00F95CCD">
      <w:pPr>
        <w:pStyle w:val="Heading2"/>
        <w:spacing w:after="240" w:line="276" w:lineRule="auto"/>
        <w:ind w:left="288" w:right="288"/>
      </w:pPr>
      <w:r>
        <w:t>Key Informant Interview</w:t>
      </w:r>
      <w:r w:rsidR="003C78C6">
        <w:t>s</w:t>
      </w:r>
      <w:r w:rsidR="00617C73">
        <w:t xml:space="preserve"> (KII)</w:t>
      </w:r>
    </w:p>
    <w:p w14:paraId="0A386726" w14:textId="7429F1A5" w:rsidR="00D6344F" w:rsidRPr="00EF2CB0" w:rsidRDefault="00203BBD" w:rsidP="00F95CCD">
      <w:pPr>
        <w:pStyle w:val="Default"/>
        <w:spacing w:after="120" w:line="259" w:lineRule="auto"/>
        <w:ind w:left="288" w:right="288"/>
        <w:rPr>
          <w:sz w:val="22"/>
          <w:szCs w:val="22"/>
        </w:rPr>
      </w:pPr>
      <w:r>
        <w:rPr>
          <w:sz w:val="22"/>
          <w:szCs w:val="22"/>
        </w:rPr>
        <w:t xml:space="preserve">Semi-structured conversations </w:t>
      </w:r>
      <w:r w:rsidR="00F51ADF">
        <w:rPr>
          <w:sz w:val="22"/>
          <w:szCs w:val="22"/>
        </w:rPr>
        <w:t xml:space="preserve">with knowledgeable insiders are a crucial means of </w:t>
      </w:r>
      <w:r w:rsidR="00F572FB">
        <w:rPr>
          <w:sz w:val="22"/>
          <w:szCs w:val="22"/>
        </w:rPr>
        <w:t>educating</w:t>
      </w:r>
      <w:r w:rsidR="00F51ADF">
        <w:rPr>
          <w:sz w:val="22"/>
          <w:szCs w:val="22"/>
        </w:rPr>
        <w:t xml:space="preserve"> </w:t>
      </w:r>
      <w:r w:rsidR="00D6344F" w:rsidRPr="00EF2CB0">
        <w:rPr>
          <w:sz w:val="22"/>
          <w:szCs w:val="22"/>
        </w:rPr>
        <w:t xml:space="preserve">project staff about the background, </w:t>
      </w:r>
      <w:r w:rsidR="002B76C8">
        <w:rPr>
          <w:sz w:val="22"/>
          <w:szCs w:val="22"/>
        </w:rPr>
        <w:t>concerns</w:t>
      </w:r>
      <w:r w:rsidR="003F0690">
        <w:rPr>
          <w:sz w:val="22"/>
          <w:szCs w:val="22"/>
        </w:rPr>
        <w:t xml:space="preserve">, and </w:t>
      </w:r>
      <w:r w:rsidR="00E70DCF">
        <w:rPr>
          <w:sz w:val="22"/>
          <w:szCs w:val="22"/>
        </w:rPr>
        <w:t xml:space="preserve">priorities for </w:t>
      </w:r>
      <w:r w:rsidR="00821923">
        <w:rPr>
          <w:sz w:val="22"/>
          <w:szCs w:val="22"/>
        </w:rPr>
        <w:t>their community</w:t>
      </w:r>
      <w:r w:rsidR="0087114C">
        <w:rPr>
          <w:sz w:val="22"/>
          <w:szCs w:val="22"/>
        </w:rPr>
        <w:t xml:space="preserve"> or </w:t>
      </w:r>
      <w:r w:rsidR="00F572FB">
        <w:rPr>
          <w:sz w:val="22"/>
          <w:szCs w:val="22"/>
        </w:rPr>
        <w:t>campaign</w:t>
      </w:r>
      <w:r w:rsidR="00341B0D">
        <w:rPr>
          <w:sz w:val="22"/>
          <w:szCs w:val="22"/>
        </w:rPr>
        <w:t xml:space="preserve">. </w:t>
      </w:r>
      <w:r w:rsidR="0080168B">
        <w:rPr>
          <w:sz w:val="22"/>
          <w:szCs w:val="22"/>
        </w:rPr>
        <w:t xml:space="preserve">Most often, KIIs are done with policymakers or their staff in order to </w:t>
      </w:r>
      <w:r w:rsidR="003B3CDB">
        <w:rPr>
          <w:sz w:val="22"/>
          <w:szCs w:val="22"/>
        </w:rPr>
        <w:t xml:space="preserve">help a project </w:t>
      </w:r>
      <w:r w:rsidR="00D6344F" w:rsidRPr="00EF2CB0">
        <w:rPr>
          <w:sz w:val="22"/>
          <w:szCs w:val="22"/>
        </w:rPr>
        <w:t xml:space="preserve">identify points of view, anticipate facilitators and barriers to adopting or implementing </w:t>
      </w:r>
      <w:r w:rsidR="00666C89">
        <w:rPr>
          <w:sz w:val="22"/>
          <w:szCs w:val="22"/>
        </w:rPr>
        <w:t>a policy</w:t>
      </w:r>
      <w:r w:rsidR="00B462DC">
        <w:rPr>
          <w:sz w:val="22"/>
          <w:szCs w:val="22"/>
        </w:rPr>
        <w:t>,</w:t>
      </w:r>
      <w:r w:rsidR="00F051FC">
        <w:rPr>
          <w:sz w:val="22"/>
          <w:szCs w:val="22"/>
        </w:rPr>
        <w:t xml:space="preserve"> and devise </w:t>
      </w:r>
      <w:r w:rsidR="00F051FC" w:rsidRPr="00EF2CB0">
        <w:rPr>
          <w:sz w:val="22"/>
          <w:szCs w:val="22"/>
        </w:rPr>
        <w:t>effective tactics</w:t>
      </w:r>
      <w:r w:rsidR="00341B0D">
        <w:rPr>
          <w:sz w:val="22"/>
          <w:szCs w:val="22"/>
        </w:rPr>
        <w:t>.</w:t>
      </w:r>
      <w:r w:rsidR="00F46AC3">
        <w:rPr>
          <w:sz w:val="22"/>
          <w:szCs w:val="22"/>
        </w:rPr>
        <w:t xml:space="preserve"> </w:t>
      </w:r>
      <w:r w:rsidR="00617C73">
        <w:rPr>
          <w:sz w:val="22"/>
          <w:szCs w:val="22"/>
        </w:rPr>
        <w:t>O</w:t>
      </w:r>
      <w:r w:rsidR="0080168B">
        <w:rPr>
          <w:sz w:val="22"/>
          <w:szCs w:val="22"/>
        </w:rPr>
        <w:t>ther</w:t>
      </w:r>
      <w:r w:rsidR="0043432D">
        <w:rPr>
          <w:sz w:val="22"/>
          <w:szCs w:val="22"/>
        </w:rPr>
        <w:t xml:space="preserve"> key stakeholders </w:t>
      </w:r>
      <w:r w:rsidR="0080168B">
        <w:rPr>
          <w:sz w:val="22"/>
          <w:szCs w:val="22"/>
        </w:rPr>
        <w:t xml:space="preserve">can be good informants too, depending on the </w:t>
      </w:r>
      <w:r w:rsidR="0043432D">
        <w:rPr>
          <w:sz w:val="22"/>
          <w:szCs w:val="22"/>
        </w:rPr>
        <w:t>goal of the interview</w:t>
      </w:r>
      <w:r w:rsidR="00341B0D">
        <w:rPr>
          <w:sz w:val="22"/>
          <w:szCs w:val="22"/>
        </w:rPr>
        <w:t xml:space="preserve">. </w:t>
      </w:r>
      <w:r w:rsidR="005224E9">
        <w:rPr>
          <w:sz w:val="22"/>
          <w:szCs w:val="22"/>
        </w:rPr>
        <w:t xml:space="preserve">For example, </w:t>
      </w:r>
      <w:r w:rsidR="008A0E79">
        <w:rPr>
          <w:sz w:val="22"/>
          <w:szCs w:val="22"/>
        </w:rPr>
        <w:t>thought leaders from local churches</w:t>
      </w:r>
      <w:r w:rsidR="006E1FAC">
        <w:rPr>
          <w:sz w:val="22"/>
          <w:szCs w:val="22"/>
        </w:rPr>
        <w:t>, cultural groups</w:t>
      </w:r>
      <w:r w:rsidR="00BF7D13">
        <w:rPr>
          <w:sz w:val="22"/>
          <w:szCs w:val="22"/>
        </w:rPr>
        <w:t>,</w:t>
      </w:r>
      <w:r w:rsidR="008A0E79">
        <w:rPr>
          <w:sz w:val="22"/>
          <w:szCs w:val="22"/>
        </w:rPr>
        <w:t xml:space="preserve"> or </w:t>
      </w:r>
      <w:r w:rsidR="006E1FAC">
        <w:rPr>
          <w:sz w:val="22"/>
          <w:szCs w:val="22"/>
        </w:rPr>
        <w:t xml:space="preserve">community agencies </w:t>
      </w:r>
      <w:r w:rsidR="00D76C36">
        <w:rPr>
          <w:sz w:val="22"/>
          <w:szCs w:val="22"/>
        </w:rPr>
        <w:t xml:space="preserve">can </w:t>
      </w:r>
      <w:r w:rsidR="006E1FAC">
        <w:rPr>
          <w:sz w:val="22"/>
          <w:szCs w:val="22"/>
        </w:rPr>
        <w:t>help</w:t>
      </w:r>
      <w:r w:rsidR="00246746">
        <w:rPr>
          <w:sz w:val="22"/>
          <w:szCs w:val="22"/>
        </w:rPr>
        <w:t xml:space="preserve"> identify</w:t>
      </w:r>
      <w:r w:rsidR="005224E9">
        <w:rPr>
          <w:sz w:val="22"/>
          <w:szCs w:val="22"/>
        </w:rPr>
        <w:t xml:space="preserve"> who the </w:t>
      </w:r>
      <w:r w:rsidR="00920BCB">
        <w:rPr>
          <w:sz w:val="22"/>
          <w:szCs w:val="22"/>
        </w:rPr>
        <w:t xml:space="preserve">area’s </w:t>
      </w:r>
      <w:r w:rsidR="005224E9">
        <w:rPr>
          <w:sz w:val="22"/>
          <w:szCs w:val="22"/>
        </w:rPr>
        <w:t xml:space="preserve">powerful players </w:t>
      </w:r>
      <w:r w:rsidR="0043432D">
        <w:rPr>
          <w:sz w:val="22"/>
          <w:szCs w:val="22"/>
        </w:rPr>
        <w:t>are</w:t>
      </w:r>
      <w:r w:rsidR="006E23E8">
        <w:rPr>
          <w:sz w:val="22"/>
          <w:szCs w:val="22"/>
        </w:rPr>
        <w:t xml:space="preserve"> or how best to approach or collaborate with specific populations</w:t>
      </w:r>
      <w:r w:rsidR="00341B0D">
        <w:rPr>
          <w:sz w:val="22"/>
          <w:szCs w:val="22"/>
        </w:rPr>
        <w:t xml:space="preserve">. </w:t>
      </w:r>
      <w:r w:rsidR="00EA673D">
        <w:rPr>
          <w:sz w:val="22"/>
          <w:szCs w:val="22"/>
        </w:rPr>
        <w:t xml:space="preserve">Interviewing a </w:t>
      </w:r>
      <w:r w:rsidR="004C5FD7">
        <w:rPr>
          <w:sz w:val="22"/>
          <w:szCs w:val="22"/>
        </w:rPr>
        <w:t xml:space="preserve">sample of shop owners </w:t>
      </w:r>
      <w:r w:rsidR="00D76C36">
        <w:rPr>
          <w:sz w:val="22"/>
          <w:szCs w:val="22"/>
        </w:rPr>
        <w:t xml:space="preserve">can </w:t>
      </w:r>
      <w:r w:rsidR="00EA673D">
        <w:rPr>
          <w:sz w:val="22"/>
          <w:szCs w:val="22"/>
        </w:rPr>
        <w:t>provide</w:t>
      </w:r>
      <w:r w:rsidR="00683731">
        <w:rPr>
          <w:sz w:val="22"/>
          <w:szCs w:val="22"/>
        </w:rPr>
        <w:t xml:space="preserve"> information about retailer practices and </w:t>
      </w:r>
      <w:r w:rsidR="00456FF2">
        <w:rPr>
          <w:sz w:val="22"/>
          <w:szCs w:val="22"/>
        </w:rPr>
        <w:t xml:space="preserve">reactions to incentives </w:t>
      </w:r>
      <w:r w:rsidR="00C55DDF">
        <w:rPr>
          <w:sz w:val="22"/>
          <w:szCs w:val="22"/>
        </w:rPr>
        <w:t>to stop selling tobacco products</w:t>
      </w:r>
      <w:r w:rsidR="00341B0D">
        <w:rPr>
          <w:sz w:val="22"/>
          <w:szCs w:val="22"/>
        </w:rPr>
        <w:t xml:space="preserve">. </w:t>
      </w:r>
      <w:r w:rsidR="00617C73">
        <w:rPr>
          <w:sz w:val="22"/>
          <w:szCs w:val="22"/>
        </w:rPr>
        <w:t xml:space="preserve">This data can be </w:t>
      </w:r>
      <w:r w:rsidR="00015666">
        <w:rPr>
          <w:sz w:val="22"/>
          <w:szCs w:val="22"/>
        </w:rPr>
        <w:t xml:space="preserve">used internally by the project to inform </w:t>
      </w:r>
      <w:r w:rsidR="00A9773C">
        <w:rPr>
          <w:sz w:val="22"/>
          <w:szCs w:val="22"/>
        </w:rPr>
        <w:t>subsequent moves</w:t>
      </w:r>
      <w:r w:rsidR="00C6193C">
        <w:rPr>
          <w:sz w:val="22"/>
          <w:szCs w:val="22"/>
        </w:rPr>
        <w:t>.</w:t>
      </w:r>
    </w:p>
    <w:p w14:paraId="2D8C5DFC" w14:textId="70DE97FF" w:rsidR="008D3EB3" w:rsidRPr="00C6193C" w:rsidRDefault="008D3EB3" w:rsidP="00F95CCD">
      <w:pPr>
        <w:pStyle w:val="Default"/>
        <w:spacing w:after="120" w:line="259" w:lineRule="auto"/>
        <w:ind w:left="288" w:right="288"/>
        <w:rPr>
          <w:sz w:val="12"/>
          <w:szCs w:val="12"/>
        </w:rPr>
      </w:pPr>
    </w:p>
    <w:p w14:paraId="4F9E0380" w14:textId="413E852F" w:rsidR="00A02DB6" w:rsidRPr="00CA6E3E" w:rsidRDefault="00A02DB6" w:rsidP="00F95CCD">
      <w:pPr>
        <w:pStyle w:val="Heading2"/>
        <w:spacing w:after="240" w:line="276" w:lineRule="auto"/>
        <w:ind w:left="288" w:right="288"/>
      </w:pPr>
      <w:r>
        <w:t>Observation</w:t>
      </w:r>
      <w:r w:rsidR="003C78C6">
        <w:t>s</w:t>
      </w:r>
    </w:p>
    <w:p w14:paraId="55B5D21E" w14:textId="2D743639" w:rsidR="002F6027" w:rsidRDefault="00FA48DC" w:rsidP="00F95CCD">
      <w:pPr>
        <w:spacing w:after="120"/>
        <w:ind w:left="288" w:right="288" w:firstLine="0"/>
      </w:pPr>
      <w:r w:rsidRPr="00EF2CB0">
        <w:t>Observations can be used to d</w:t>
      </w:r>
      <w:r w:rsidR="002F6027" w:rsidRPr="00EF2CB0">
        <w:t xml:space="preserve">ocument the scope of a </w:t>
      </w:r>
      <w:r w:rsidRPr="00EF2CB0">
        <w:t>problem</w:t>
      </w:r>
      <w:r w:rsidR="002B632C" w:rsidRPr="00EF2CB0">
        <w:t xml:space="preserve">, confirm </w:t>
      </w:r>
      <w:r w:rsidR="00016042">
        <w:t xml:space="preserve">that </w:t>
      </w:r>
      <w:r w:rsidR="002B632C" w:rsidRPr="00EF2CB0">
        <w:t xml:space="preserve">a policy is being implemented properly, or </w:t>
      </w:r>
      <w:r w:rsidR="00FC3C9D" w:rsidRPr="00EF2CB0">
        <w:t>measure change over time (when more than one wave of observations is conducted)</w:t>
      </w:r>
      <w:r w:rsidR="00341B0D">
        <w:t xml:space="preserve">. </w:t>
      </w:r>
      <w:r w:rsidR="00C41F51" w:rsidRPr="00EF2CB0">
        <w:t xml:space="preserve">Comparisons </w:t>
      </w:r>
      <w:r w:rsidR="002F4FF1" w:rsidRPr="00EF2CB0">
        <w:t xml:space="preserve">between locations, </w:t>
      </w:r>
      <w:r w:rsidR="008D638E" w:rsidRPr="00EF2CB0">
        <w:t xml:space="preserve">entity </w:t>
      </w:r>
      <w:r w:rsidR="00FB4110" w:rsidRPr="00EF2CB0">
        <w:t xml:space="preserve">characteristics </w:t>
      </w:r>
      <w:r w:rsidR="009B63F0" w:rsidRPr="00EF2CB0">
        <w:t xml:space="preserve">(e.g., </w:t>
      </w:r>
      <w:r w:rsidR="00FB4110" w:rsidRPr="00EF2CB0">
        <w:t>kinds</w:t>
      </w:r>
      <w:r w:rsidR="009B63F0" w:rsidRPr="00EF2CB0">
        <w:t xml:space="preserve"> of retailers), </w:t>
      </w:r>
      <w:r w:rsidR="0043432D">
        <w:t xml:space="preserve">or </w:t>
      </w:r>
      <w:r w:rsidR="00631E15" w:rsidRPr="00EF2CB0">
        <w:t xml:space="preserve">types of </w:t>
      </w:r>
      <w:r w:rsidR="00D042ED" w:rsidRPr="00EF2CB0">
        <w:t>intervention</w:t>
      </w:r>
      <w:r w:rsidR="00A47F1F">
        <w:t>s</w:t>
      </w:r>
      <w:r w:rsidR="00FB4110" w:rsidRPr="00EF2CB0">
        <w:t xml:space="preserve"> </w:t>
      </w:r>
      <w:r w:rsidR="009B63F0" w:rsidRPr="00EF2CB0">
        <w:t xml:space="preserve">or policy provisions </w:t>
      </w:r>
      <w:r w:rsidR="00F923BA" w:rsidRPr="00EF2CB0">
        <w:t xml:space="preserve">enable projects to see where the problem is </w:t>
      </w:r>
      <w:r w:rsidR="00631E15" w:rsidRPr="00EF2CB0">
        <w:t>more serious</w:t>
      </w:r>
      <w:r w:rsidR="00A01BA0" w:rsidRPr="00EF2CB0">
        <w:t xml:space="preserve"> or which strategy is most effective</w:t>
      </w:r>
      <w:r w:rsidR="00D042ED" w:rsidRPr="00EF2CB0">
        <w:t xml:space="preserve"> and where to prioritize efforts</w:t>
      </w:r>
      <w:r w:rsidR="00341B0D">
        <w:t xml:space="preserve">. </w:t>
      </w:r>
      <w:r w:rsidR="0019335C">
        <w:t>Observations may also identify unintentional consequences</w:t>
      </w:r>
      <w:r w:rsidR="00F5447B">
        <w:t xml:space="preserve">—positive or negative—which may </w:t>
      </w:r>
      <w:r w:rsidR="00BB17E6">
        <w:t>further widen health equity and social justice gaps.</w:t>
      </w:r>
      <w:r w:rsidR="0019335C">
        <w:t xml:space="preserve"> </w:t>
      </w:r>
      <w:r w:rsidR="00822571" w:rsidRPr="00EF2CB0">
        <w:t xml:space="preserve">Results can be shared with stakeholders and decisionmakers to illustrate the </w:t>
      </w:r>
      <w:r w:rsidR="008437C8" w:rsidRPr="00EF2CB0">
        <w:t xml:space="preserve">need </w:t>
      </w:r>
      <w:r w:rsidR="00343D08" w:rsidRPr="00EF2CB0">
        <w:t>for action</w:t>
      </w:r>
      <w:r w:rsidR="008437C8" w:rsidRPr="00EF2CB0">
        <w:t xml:space="preserve">. </w:t>
      </w:r>
    </w:p>
    <w:p w14:paraId="5E50EF5D" w14:textId="61FBA7A3" w:rsidR="001672A1" w:rsidRDefault="001672A1" w:rsidP="00F95CCD">
      <w:pPr>
        <w:spacing w:after="120"/>
        <w:ind w:left="288" w:right="288" w:firstLine="0"/>
      </w:pPr>
    </w:p>
    <w:p w14:paraId="0E5B04CA" w14:textId="77777777" w:rsidR="001672A1" w:rsidRDefault="001672A1" w:rsidP="00F95CCD">
      <w:pPr>
        <w:spacing w:after="120"/>
        <w:ind w:left="288" w:right="288" w:firstLine="0"/>
      </w:pPr>
    </w:p>
    <w:p w14:paraId="1E9AC895" w14:textId="77777777" w:rsidR="00A02DB6" w:rsidRPr="00AD7EE1" w:rsidRDefault="00A02DB6" w:rsidP="00F95CCD">
      <w:pPr>
        <w:spacing w:after="120"/>
        <w:ind w:left="288" w:right="288" w:firstLine="0"/>
        <w:rPr>
          <w:sz w:val="12"/>
          <w:szCs w:val="12"/>
        </w:rPr>
      </w:pPr>
    </w:p>
    <w:p w14:paraId="5CAB1F8A" w14:textId="660BC84C" w:rsidR="00A02DB6" w:rsidRPr="00CA6E3E" w:rsidRDefault="00A02DB6" w:rsidP="00F95CCD">
      <w:pPr>
        <w:pStyle w:val="Heading2"/>
        <w:spacing w:after="240" w:line="276" w:lineRule="auto"/>
        <w:ind w:left="288" w:right="288"/>
      </w:pPr>
      <w:r>
        <w:lastRenderedPageBreak/>
        <w:t>Policy Record Review</w:t>
      </w:r>
      <w:r w:rsidR="003C78C6">
        <w:t>s</w:t>
      </w:r>
    </w:p>
    <w:p w14:paraId="6DFF4037" w14:textId="5F890AE1" w:rsidR="009E2202" w:rsidRDefault="001672A1" w:rsidP="00027BA5">
      <w:pPr>
        <w:pStyle w:val="Default"/>
        <w:spacing w:after="120" w:line="259" w:lineRule="auto"/>
        <w:ind w:left="288" w:right="288"/>
        <w:rPr>
          <w:sz w:val="22"/>
          <w:szCs w:val="22"/>
        </w:rPr>
      </w:pPr>
      <w:r>
        <w:rPr>
          <w:sz w:val="22"/>
          <w:szCs w:val="22"/>
        </w:rPr>
        <w:t>Research on the related policies and decision maker backgrounds is an important activity to do early in your work.  These types of information in policy record reviews can help u</w:t>
      </w:r>
      <w:r w:rsidR="00347D1E" w:rsidRPr="00EF2CB0">
        <w:rPr>
          <w:sz w:val="22"/>
          <w:szCs w:val="22"/>
        </w:rPr>
        <w:t>ncover the personal interests, allies, policy stances and priorities of elected officials f</w:t>
      </w:r>
      <w:r w:rsidR="0083033F" w:rsidRPr="00EF2CB0">
        <w:rPr>
          <w:sz w:val="22"/>
          <w:szCs w:val="22"/>
        </w:rPr>
        <w:t>rom the</w:t>
      </w:r>
      <w:r w:rsidR="00347D1E" w:rsidRPr="00EF2CB0">
        <w:rPr>
          <w:sz w:val="22"/>
          <w:szCs w:val="22"/>
        </w:rPr>
        <w:t>ir</w:t>
      </w:r>
      <w:r w:rsidR="0083033F" w:rsidRPr="00EF2CB0">
        <w:rPr>
          <w:sz w:val="22"/>
          <w:szCs w:val="22"/>
        </w:rPr>
        <w:t xml:space="preserve"> bio</w:t>
      </w:r>
      <w:r w:rsidR="001A1257" w:rsidRPr="00EF2CB0">
        <w:rPr>
          <w:sz w:val="22"/>
          <w:szCs w:val="22"/>
        </w:rPr>
        <w:t>s</w:t>
      </w:r>
      <w:r w:rsidR="00E035D7" w:rsidRPr="00EF2CB0">
        <w:rPr>
          <w:sz w:val="22"/>
          <w:szCs w:val="22"/>
        </w:rPr>
        <w:t>,</w:t>
      </w:r>
      <w:r w:rsidR="0083033F" w:rsidRPr="00EF2CB0">
        <w:rPr>
          <w:sz w:val="22"/>
          <w:szCs w:val="22"/>
        </w:rPr>
        <w:t xml:space="preserve"> voting records</w:t>
      </w:r>
      <w:r w:rsidR="0089049E">
        <w:rPr>
          <w:sz w:val="22"/>
          <w:szCs w:val="22"/>
        </w:rPr>
        <w:t>,</w:t>
      </w:r>
      <w:r w:rsidR="0083033F" w:rsidRPr="00EF2CB0">
        <w:rPr>
          <w:sz w:val="22"/>
          <w:szCs w:val="22"/>
        </w:rPr>
        <w:t xml:space="preserve"> </w:t>
      </w:r>
      <w:r w:rsidR="00E035D7" w:rsidRPr="00EF2CB0">
        <w:rPr>
          <w:sz w:val="22"/>
          <w:szCs w:val="22"/>
        </w:rPr>
        <w:t>and meeting minutes</w:t>
      </w:r>
      <w:r w:rsidR="009E4D7C" w:rsidRPr="00EF2CB0">
        <w:rPr>
          <w:sz w:val="22"/>
          <w:szCs w:val="22"/>
        </w:rPr>
        <w:t xml:space="preserve"> </w:t>
      </w:r>
      <w:r w:rsidR="008643FC">
        <w:rPr>
          <w:sz w:val="22"/>
          <w:szCs w:val="22"/>
        </w:rPr>
        <w:t>which can be used to</w:t>
      </w:r>
      <w:r w:rsidR="00E309D6" w:rsidRPr="00EF2CB0">
        <w:rPr>
          <w:sz w:val="22"/>
          <w:szCs w:val="22"/>
        </w:rPr>
        <w:t xml:space="preserve"> </w:t>
      </w:r>
      <w:r w:rsidR="0007380E" w:rsidRPr="00EF2CB0">
        <w:rPr>
          <w:sz w:val="22"/>
          <w:szCs w:val="22"/>
        </w:rPr>
        <w:t xml:space="preserve">identify </w:t>
      </w:r>
      <w:r w:rsidR="004F7DD5" w:rsidRPr="00EF2CB0">
        <w:rPr>
          <w:sz w:val="22"/>
          <w:szCs w:val="22"/>
        </w:rPr>
        <w:t xml:space="preserve">and persuade </w:t>
      </w:r>
      <w:r w:rsidR="0007380E" w:rsidRPr="00EF2CB0">
        <w:rPr>
          <w:sz w:val="22"/>
          <w:szCs w:val="22"/>
        </w:rPr>
        <w:t>undecided vote</w:t>
      </w:r>
      <w:r w:rsidR="004F7DD5" w:rsidRPr="00EF2CB0">
        <w:rPr>
          <w:sz w:val="22"/>
          <w:szCs w:val="22"/>
        </w:rPr>
        <w:t>s</w:t>
      </w:r>
      <w:r>
        <w:rPr>
          <w:sz w:val="22"/>
          <w:szCs w:val="22"/>
        </w:rPr>
        <w:t xml:space="preserve">.  </w:t>
      </w:r>
      <w:r w:rsidR="00027BA5">
        <w:rPr>
          <w:sz w:val="22"/>
          <w:szCs w:val="22"/>
        </w:rPr>
        <w:t>The data can i</w:t>
      </w:r>
      <w:r w:rsidR="00556F6E" w:rsidRPr="00EF2CB0">
        <w:rPr>
          <w:sz w:val="22"/>
          <w:szCs w:val="22"/>
        </w:rPr>
        <w:t xml:space="preserve">dentify the </w:t>
      </w:r>
      <w:r w:rsidR="00585D72" w:rsidRPr="00EF2CB0">
        <w:rPr>
          <w:sz w:val="22"/>
          <w:szCs w:val="22"/>
        </w:rPr>
        <w:t xml:space="preserve">makeup </w:t>
      </w:r>
      <w:r w:rsidR="00556F6E" w:rsidRPr="00EF2CB0">
        <w:rPr>
          <w:sz w:val="22"/>
          <w:szCs w:val="22"/>
        </w:rPr>
        <w:t xml:space="preserve">and </w:t>
      </w:r>
      <w:r w:rsidR="009A10BA" w:rsidRPr="00EF2CB0">
        <w:rPr>
          <w:sz w:val="22"/>
          <w:szCs w:val="22"/>
        </w:rPr>
        <w:t xml:space="preserve">extent of social </w:t>
      </w:r>
      <w:r w:rsidR="00585D72" w:rsidRPr="00EF2CB0">
        <w:rPr>
          <w:sz w:val="22"/>
          <w:szCs w:val="22"/>
        </w:rPr>
        <w:t xml:space="preserve">characteristics in </w:t>
      </w:r>
      <w:r w:rsidR="00EB3646" w:rsidRPr="00EF2CB0">
        <w:rPr>
          <w:sz w:val="22"/>
          <w:szCs w:val="22"/>
        </w:rPr>
        <w:t>census population data</w:t>
      </w:r>
      <w:r w:rsidR="00781F1F" w:rsidRPr="00EF2CB0">
        <w:rPr>
          <w:sz w:val="22"/>
          <w:szCs w:val="22"/>
        </w:rPr>
        <w:t xml:space="preserve"> to pinpoint the </w:t>
      </w:r>
      <w:r w:rsidR="00F632A6" w:rsidRPr="00EF2CB0">
        <w:rPr>
          <w:sz w:val="22"/>
          <w:szCs w:val="22"/>
        </w:rPr>
        <w:t>scope of a problem and attempt to reduce inequities</w:t>
      </w:r>
      <w:r w:rsidR="00027BA5">
        <w:rPr>
          <w:sz w:val="22"/>
          <w:szCs w:val="22"/>
        </w:rPr>
        <w:t>.  Such background research can be used to d</w:t>
      </w:r>
      <w:r w:rsidR="00D83B85" w:rsidRPr="00EF2CB0">
        <w:rPr>
          <w:sz w:val="22"/>
          <w:szCs w:val="22"/>
        </w:rPr>
        <w:t xml:space="preserve">ocument the number and location of </w:t>
      </w:r>
      <w:r w:rsidR="00BB0BBA" w:rsidRPr="00EF2CB0">
        <w:rPr>
          <w:sz w:val="22"/>
          <w:szCs w:val="22"/>
        </w:rPr>
        <w:t xml:space="preserve">entities like industrial </w:t>
      </w:r>
      <w:r w:rsidR="00DA0962" w:rsidRPr="00EF2CB0">
        <w:rPr>
          <w:sz w:val="22"/>
          <w:szCs w:val="22"/>
        </w:rPr>
        <w:t xml:space="preserve">polluters, </w:t>
      </w:r>
      <w:r w:rsidR="00E00310" w:rsidRPr="00EF2CB0">
        <w:rPr>
          <w:sz w:val="22"/>
          <w:szCs w:val="22"/>
        </w:rPr>
        <w:t>tobacco retailers, parks, schools</w:t>
      </w:r>
      <w:r w:rsidR="00BB0BBA" w:rsidRPr="00EF2CB0">
        <w:rPr>
          <w:sz w:val="22"/>
          <w:szCs w:val="22"/>
        </w:rPr>
        <w:t xml:space="preserve">, </w:t>
      </w:r>
      <w:r w:rsidR="00E00310" w:rsidRPr="00EF2CB0">
        <w:rPr>
          <w:sz w:val="22"/>
          <w:szCs w:val="22"/>
        </w:rPr>
        <w:t>cessation services</w:t>
      </w:r>
      <w:r w:rsidR="00E910BB" w:rsidRPr="00EF2CB0">
        <w:rPr>
          <w:sz w:val="22"/>
          <w:szCs w:val="22"/>
        </w:rPr>
        <w:t>, etc.</w:t>
      </w:r>
      <w:r w:rsidR="00E00310" w:rsidRPr="00EF2CB0">
        <w:rPr>
          <w:sz w:val="22"/>
          <w:szCs w:val="22"/>
        </w:rPr>
        <w:t xml:space="preserve"> from </w:t>
      </w:r>
      <w:r w:rsidR="00B47234" w:rsidRPr="00EF2CB0">
        <w:rPr>
          <w:sz w:val="22"/>
          <w:szCs w:val="22"/>
        </w:rPr>
        <w:t>public lists</w:t>
      </w:r>
      <w:r w:rsidR="00F632A6" w:rsidRPr="00EF2CB0">
        <w:rPr>
          <w:sz w:val="22"/>
          <w:szCs w:val="22"/>
        </w:rPr>
        <w:t xml:space="preserve"> in order to </w:t>
      </w:r>
      <w:r w:rsidR="0074315C" w:rsidRPr="00EF2CB0">
        <w:rPr>
          <w:sz w:val="22"/>
          <w:szCs w:val="22"/>
        </w:rPr>
        <w:t>assess the density</w:t>
      </w:r>
      <w:r w:rsidR="00F70898" w:rsidRPr="00EF2CB0">
        <w:rPr>
          <w:sz w:val="22"/>
          <w:szCs w:val="22"/>
        </w:rPr>
        <w:t xml:space="preserve"> and/or</w:t>
      </w:r>
      <w:r w:rsidR="0074315C" w:rsidRPr="00EF2CB0">
        <w:rPr>
          <w:sz w:val="22"/>
          <w:szCs w:val="22"/>
        </w:rPr>
        <w:t xml:space="preserve"> proximity </w:t>
      </w:r>
      <w:r w:rsidR="00F70898" w:rsidRPr="00EF2CB0">
        <w:rPr>
          <w:sz w:val="22"/>
          <w:szCs w:val="22"/>
        </w:rPr>
        <w:t xml:space="preserve">of </w:t>
      </w:r>
      <w:r w:rsidR="00287B0D" w:rsidRPr="00EF2CB0">
        <w:rPr>
          <w:sz w:val="22"/>
          <w:szCs w:val="22"/>
        </w:rPr>
        <w:t>certain sites or services in a neighborhood or jurisdiction</w:t>
      </w:r>
      <w:r w:rsidR="00341B0D">
        <w:rPr>
          <w:sz w:val="22"/>
          <w:szCs w:val="22"/>
        </w:rPr>
        <w:t xml:space="preserve">. </w:t>
      </w:r>
      <w:r w:rsidR="008643FC">
        <w:rPr>
          <w:sz w:val="22"/>
          <w:szCs w:val="22"/>
        </w:rPr>
        <w:t>T</w:t>
      </w:r>
      <w:r w:rsidR="00287B0D" w:rsidRPr="00EF2CB0">
        <w:rPr>
          <w:sz w:val="22"/>
          <w:szCs w:val="22"/>
        </w:rPr>
        <w:t xml:space="preserve">his data can be overlaid </w:t>
      </w:r>
      <w:r w:rsidR="008643FC">
        <w:rPr>
          <w:sz w:val="22"/>
          <w:szCs w:val="22"/>
        </w:rPr>
        <w:t xml:space="preserve">in GIS </w:t>
      </w:r>
      <w:r w:rsidR="00287B0D" w:rsidRPr="00EF2CB0">
        <w:rPr>
          <w:sz w:val="22"/>
          <w:szCs w:val="22"/>
        </w:rPr>
        <w:t xml:space="preserve">onto </w:t>
      </w:r>
      <w:r w:rsidR="0076595E" w:rsidRPr="00EF2CB0">
        <w:rPr>
          <w:sz w:val="22"/>
          <w:szCs w:val="22"/>
        </w:rPr>
        <w:t>maps of social</w:t>
      </w:r>
      <w:r w:rsidR="00276C4A" w:rsidRPr="00EF2CB0">
        <w:rPr>
          <w:sz w:val="22"/>
          <w:szCs w:val="22"/>
        </w:rPr>
        <w:t xml:space="preserve"> </w:t>
      </w:r>
      <w:r w:rsidR="0076595E" w:rsidRPr="00EF2CB0">
        <w:rPr>
          <w:sz w:val="22"/>
          <w:szCs w:val="22"/>
        </w:rPr>
        <w:t xml:space="preserve">characteristics </w:t>
      </w:r>
      <w:r w:rsidR="002B69D6" w:rsidRPr="00EF2CB0">
        <w:rPr>
          <w:sz w:val="22"/>
          <w:szCs w:val="22"/>
        </w:rPr>
        <w:t xml:space="preserve">to </w:t>
      </w:r>
      <w:r w:rsidR="00CE6A87" w:rsidRPr="00EF2CB0">
        <w:rPr>
          <w:sz w:val="22"/>
          <w:szCs w:val="22"/>
        </w:rPr>
        <w:t>detect social inequities</w:t>
      </w:r>
      <w:r w:rsidR="00246746">
        <w:rPr>
          <w:sz w:val="22"/>
          <w:szCs w:val="22"/>
        </w:rPr>
        <w:t>,</w:t>
      </w:r>
      <w:r w:rsidR="00E910BB" w:rsidRPr="00EF2CB0">
        <w:rPr>
          <w:sz w:val="22"/>
          <w:szCs w:val="22"/>
        </w:rPr>
        <w:t xml:space="preserve"> </w:t>
      </w:r>
      <w:r w:rsidR="00246746">
        <w:rPr>
          <w:sz w:val="22"/>
          <w:szCs w:val="22"/>
        </w:rPr>
        <w:t>which can be used to</w:t>
      </w:r>
      <w:r w:rsidR="00246746" w:rsidRPr="00EF2CB0">
        <w:rPr>
          <w:sz w:val="22"/>
          <w:szCs w:val="22"/>
        </w:rPr>
        <w:t xml:space="preserve"> </w:t>
      </w:r>
      <w:r w:rsidR="00792C0A">
        <w:rPr>
          <w:sz w:val="22"/>
          <w:szCs w:val="22"/>
        </w:rPr>
        <w:t xml:space="preserve">educate decision makers and </w:t>
      </w:r>
      <w:r w:rsidR="003D44C1">
        <w:rPr>
          <w:sz w:val="22"/>
          <w:szCs w:val="22"/>
        </w:rPr>
        <w:t xml:space="preserve">prioritize </w:t>
      </w:r>
      <w:r w:rsidR="008D1184">
        <w:rPr>
          <w:sz w:val="22"/>
          <w:szCs w:val="22"/>
        </w:rPr>
        <w:t xml:space="preserve">in </w:t>
      </w:r>
      <w:r w:rsidR="00E47C98">
        <w:rPr>
          <w:sz w:val="22"/>
          <w:szCs w:val="22"/>
        </w:rPr>
        <w:t>wh</w:t>
      </w:r>
      <w:r w:rsidR="008D1184">
        <w:rPr>
          <w:sz w:val="22"/>
          <w:szCs w:val="22"/>
        </w:rPr>
        <w:t xml:space="preserve">ich </w:t>
      </w:r>
      <w:r w:rsidR="00F7741D">
        <w:rPr>
          <w:sz w:val="22"/>
          <w:szCs w:val="22"/>
        </w:rPr>
        <w:t xml:space="preserve">neighborhoods </w:t>
      </w:r>
      <w:r w:rsidR="008D1184">
        <w:rPr>
          <w:sz w:val="22"/>
          <w:szCs w:val="22"/>
        </w:rPr>
        <w:t>y</w:t>
      </w:r>
      <w:r w:rsidR="00F7741D">
        <w:rPr>
          <w:sz w:val="22"/>
          <w:szCs w:val="22"/>
        </w:rPr>
        <w:t>ou</w:t>
      </w:r>
      <w:r w:rsidR="00792C0A">
        <w:rPr>
          <w:sz w:val="22"/>
          <w:szCs w:val="22"/>
        </w:rPr>
        <w:t>r project</w:t>
      </w:r>
      <w:r w:rsidR="00F7741D">
        <w:rPr>
          <w:sz w:val="22"/>
          <w:szCs w:val="22"/>
        </w:rPr>
        <w:t xml:space="preserve"> </w:t>
      </w:r>
      <w:r w:rsidR="008D1184">
        <w:rPr>
          <w:sz w:val="22"/>
          <w:szCs w:val="22"/>
        </w:rPr>
        <w:t xml:space="preserve">should </w:t>
      </w:r>
      <w:r w:rsidR="00D27168">
        <w:rPr>
          <w:sz w:val="22"/>
          <w:szCs w:val="22"/>
        </w:rPr>
        <w:t xml:space="preserve">provide </w:t>
      </w:r>
      <w:r w:rsidR="00F7741D">
        <w:rPr>
          <w:sz w:val="22"/>
          <w:szCs w:val="22"/>
        </w:rPr>
        <w:t xml:space="preserve">more </w:t>
      </w:r>
      <w:r w:rsidR="003A0791">
        <w:rPr>
          <w:sz w:val="22"/>
          <w:szCs w:val="22"/>
        </w:rPr>
        <w:t>education, mobilization</w:t>
      </w:r>
      <w:r w:rsidR="00F1469E">
        <w:rPr>
          <w:sz w:val="22"/>
          <w:szCs w:val="22"/>
        </w:rPr>
        <w:t xml:space="preserve"> outreach</w:t>
      </w:r>
      <w:r w:rsidR="00D27168">
        <w:rPr>
          <w:sz w:val="22"/>
          <w:szCs w:val="22"/>
        </w:rPr>
        <w:t>,</w:t>
      </w:r>
      <w:r w:rsidR="003A0791">
        <w:rPr>
          <w:sz w:val="22"/>
          <w:szCs w:val="22"/>
        </w:rPr>
        <w:t xml:space="preserve"> and assistance</w:t>
      </w:r>
      <w:r w:rsidR="00F1469E">
        <w:rPr>
          <w:sz w:val="22"/>
          <w:szCs w:val="22"/>
        </w:rPr>
        <w:t>.</w:t>
      </w:r>
      <w:r w:rsidR="003A0791">
        <w:rPr>
          <w:sz w:val="22"/>
          <w:szCs w:val="22"/>
        </w:rPr>
        <w:t xml:space="preserve"> </w:t>
      </w:r>
    </w:p>
    <w:p w14:paraId="39932750" w14:textId="77777777" w:rsidR="00BF3945" w:rsidRPr="00087023" w:rsidRDefault="00BF3945" w:rsidP="00F95CCD">
      <w:pPr>
        <w:pStyle w:val="Default"/>
        <w:spacing w:after="120" w:line="259" w:lineRule="auto"/>
        <w:ind w:left="288" w:right="288"/>
        <w:rPr>
          <w:b/>
          <w:bCs/>
          <w:sz w:val="12"/>
          <w:szCs w:val="12"/>
        </w:rPr>
      </w:pPr>
    </w:p>
    <w:p w14:paraId="1982AACC" w14:textId="2A59EE06" w:rsidR="00A02DB6" w:rsidRPr="00CA6E3E" w:rsidRDefault="00A02DB6" w:rsidP="00F95CCD">
      <w:pPr>
        <w:pStyle w:val="Heading2"/>
        <w:spacing w:after="240" w:line="276" w:lineRule="auto"/>
        <w:ind w:left="288" w:right="288"/>
      </w:pPr>
      <w:r>
        <w:t>Public Opinion Survey</w:t>
      </w:r>
      <w:r w:rsidR="003C78C6">
        <w:t>s</w:t>
      </w:r>
    </w:p>
    <w:p w14:paraId="4A501DE4" w14:textId="643C5D7D" w:rsidR="00EC0CEB" w:rsidRPr="00EF2CB0" w:rsidRDefault="003B2749" w:rsidP="00F95CCD">
      <w:pPr>
        <w:pStyle w:val="Default"/>
        <w:spacing w:after="120" w:line="259" w:lineRule="auto"/>
        <w:ind w:left="288" w:right="288"/>
        <w:rPr>
          <w:sz w:val="22"/>
          <w:szCs w:val="22"/>
        </w:rPr>
      </w:pPr>
      <w:r w:rsidRPr="00EF2CB0">
        <w:rPr>
          <w:sz w:val="22"/>
          <w:szCs w:val="22"/>
        </w:rPr>
        <w:t>W</w:t>
      </w:r>
      <w:r w:rsidR="00BD4A59" w:rsidRPr="00EF2CB0">
        <w:rPr>
          <w:sz w:val="22"/>
          <w:szCs w:val="22"/>
        </w:rPr>
        <w:t>hen surveys are representative of the population of interest</w:t>
      </w:r>
      <w:r w:rsidR="00424335">
        <w:rPr>
          <w:sz w:val="22"/>
          <w:szCs w:val="22"/>
        </w:rPr>
        <w:t xml:space="preserve"> (</w:t>
      </w:r>
      <w:r w:rsidR="00246746">
        <w:rPr>
          <w:sz w:val="22"/>
          <w:szCs w:val="22"/>
        </w:rPr>
        <w:t xml:space="preserve">e.g., </w:t>
      </w:r>
      <w:r w:rsidR="00424335">
        <w:rPr>
          <w:sz w:val="22"/>
          <w:szCs w:val="22"/>
        </w:rPr>
        <w:t xml:space="preserve">residents in a specific voting district, </w:t>
      </w:r>
      <w:r w:rsidR="00246746">
        <w:rPr>
          <w:sz w:val="22"/>
          <w:szCs w:val="22"/>
        </w:rPr>
        <w:t>multi-unit housing tenants</w:t>
      </w:r>
      <w:r w:rsidR="00424335">
        <w:rPr>
          <w:sz w:val="22"/>
          <w:szCs w:val="22"/>
        </w:rPr>
        <w:t>, etc</w:t>
      </w:r>
      <w:r w:rsidR="006E1FA9">
        <w:rPr>
          <w:sz w:val="22"/>
          <w:szCs w:val="22"/>
        </w:rPr>
        <w:t>.</w:t>
      </w:r>
      <w:r w:rsidR="00424335">
        <w:rPr>
          <w:sz w:val="22"/>
          <w:szCs w:val="22"/>
        </w:rPr>
        <w:t>)</w:t>
      </w:r>
      <w:r w:rsidR="00BD4A59" w:rsidRPr="00EF2CB0">
        <w:rPr>
          <w:sz w:val="22"/>
          <w:szCs w:val="22"/>
        </w:rPr>
        <w:t xml:space="preserve">, the findings can help projects and coalitions </w:t>
      </w:r>
      <w:r w:rsidR="00941DE2" w:rsidRPr="00EF2CB0">
        <w:rPr>
          <w:sz w:val="22"/>
          <w:szCs w:val="22"/>
        </w:rPr>
        <w:t xml:space="preserve">understand </w:t>
      </w:r>
      <w:r w:rsidR="00DE1BE0" w:rsidRPr="00EF2CB0">
        <w:rPr>
          <w:sz w:val="22"/>
          <w:szCs w:val="22"/>
        </w:rPr>
        <w:t xml:space="preserve">community knowledge, attitudes, and perceptions of </w:t>
      </w:r>
      <w:r w:rsidR="00941DE2" w:rsidRPr="00EF2CB0">
        <w:rPr>
          <w:sz w:val="22"/>
          <w:szCs w:val="22"/>
        </w:rPr>
        <w:t xml:space="preserve">a topic (like </w:t>
      </w:r>
      <w:r w:rsidR="00074F6A">
        <w:rPr>
          <w:sz w:val="22"/>
          <w:szCs w:val="22"/>
        </w:rPr>
        <w:t>the harms of flavored tobacco products</w:t>
      </w:r>
      <w:r w:rsidR="00941DE2" w:rsidRPr="00EF2CB0">
        <w:rPr>
          <w:sz w:val="22"/>
          <w:szCs w:val="22"/>
        </w:rPr>
        <w:t>)</w:t>
      </w:r>
      <w:r w:rsidR="00341B0D">
        <w:rPr>
          <w:sz w:val="22"/>
          <w:szCs w:val="22"/>
        </w:rPr>
        <w:t xml:space="preserve">. </w:t>
      </w:r>
      <w:r w:rsidR="00EB1DC8" w:rsidRPr="00EF2CB0">
        <w:rPr>
          <w:sz w:val="22"/>
          <w:szCs w:val="22"/>
        </w:rPr>
        <w:t xml:space="preserve">Data can indicate whether a population is </w:t>
      </w:r>
      <w:r w:rsidR="00A651E1" w:rsidRPr="00EF2CB0">
        <w:rPr>
          <w:sz w:val="22"/>
          <w:szCs w:val="22"/>
        </w:rPr>
        <w:t>ready to mobilize around a campaign or whe</w:t>
      </w:r>
      <w:r w:rsidR="00E27FA2" w:rsidRPr="00EF2CB0">
        <w:rPr>
          <w:sz w:val="22"/>
          <w:szCs w:val="22"/>
        </w:rPr>
        <w:t xml:space="preserve">ther they need more </w:t>
      </w:r>
      <w:r w:rsidR="00424335">
        <w:rPr>
          <w:sz w:val="22"/>
          <w:szCs w:val="22"/>
        </w:rPr>
        <w:t>education</w:t>
      </w:r>
      <w:r w:rsidR="004E5F41">
        <w:rPr>
          <w:sz w:val="22"/>
          <w:szCs w:val="22"/>
        </w:rPr>
        <w:t xml:space="preserve"> or</w:t>
      </w:r>
      <w:r w:rsidR="00B9431D">
        <w:rPr>
          <w:sz w:val="22"/>
          <w:szCs w:val="22"/>
        </w:rPr>
        <w:t xml:space="preserve"> </w:t>
      </w:r>
      <w:r w:rsidR="00E27FA2" w:rsidRPr="00EF2CB0">
        <w:rPr>
          <w:sz w:val="22"/>
          <w:szCs w:val="22"/>
        </w:rPr>
        <w:t>persuasion</w:t>
      </w:r>
      <w:r w:rsidR="00341B0D">
        <w:rPr>
          <w:sz w:val="22"/>
          <w:szCs w:val="22"/>
        </w:rPr>
        <w:t xml:space="preserve">. </w:t>
      </w:r>
      <w:r w:rsidR="00F91D8C" w:rsidRPr="00EF2CB0">
        <w:rPr>
          <w:sz w:val="22"/>
          <w:szCs w:val="22"/>
        </w:rPr>
        <w:t xml:space="preserve">Evidence of public support can be used to </w:t>
      </w:r>
      <w:r w:rsidR="00F77349" w:rsidRPr="00EF2CB0">
        <w:rPr>
          <w:sz w:val="22"/>
          <w:szCs w:val="22"/>
        </w:rPr>
        <w:t>leverage power over elected officials to take desired action.</w:t>
      </w:r>
      <w:r w:rsidR="00EC0CEB" w:rsidRPr="00EF2CB0">
        <w:rPr>
          <w:sz w:val="22"/>
          <w:szCs w:val="22"/>
        </w:rPr>
        <w:t xml:space="preserve"> Lack of adequate public support may indicate </w:t>
      </w:r>
      <w:r w:rsidR="009B1067">
        <w:rPr>
          <w:sz w:val="22"/>
          <w:szCs w:val="22"/>
        </w:rPr>
        <w:t xml:space="preserve">that </w:t>
      </w:r>
      <w:r w:rsidR="00EC0CEB" w:rsidRPr="00EF2CB0">
        <w:rPr>
          <w:sz w:val="22"/>
          <w:szCs w:val="22"/>
        </w:rPr>
        <w:t>the project need</w:t>
      </w:r>
      <w:r w:rsidR="00AB7734">
        <w:rPr>
          <w:sz w:val="22"/>
          <w:szCs w:val="22"/>
        </w:rPr>
        <w:t>s</w:t>
      </w:r>
      <w:r w:rsidR="00EC0CEB" w:rsidRPr="00EF2CB0">
        <w:rPr>
          <w:sz w:val="22"/>
          <w:szCs w:val="22"/>
        </w:rPr>
        <w:t xml:space="preserve"> more compelling </w:t>
      </w:r>
      <w:r w:rsidR="00AD6A05">
        <w:rPr>
          <w:sz w:val="22"/>
          <w:szCs w:val="22"/>
        </w:rPr>
        <w:t xml:space="preserve">proof </w:t>
      </w:r>
      <w:r w:rsidR="00EC0CEB" w:rsidRPr="00EF2CB0">
        <w:rPr>
          <w:sz w:val="22"/>
          <w:szCs w:val="22"/>
        </w:rPr>
        <w:t xml:space="preserve">or </w:t>
      </w:r>
      <w:r w:rsidR="00F10921">
        <w:rPr>
          <w:sz w:val="22"/>
          <w:szCs w:val="22"/>
        </w:rPr>
        <w:t>better</w:t>
      </w:r>
      <w:r w:rsidR="00B37B82" w:rsidRPr="00EF2CB0">
        <w:rPr>
          <w:sz w:val="22"/>
          <w:szCs w:val="22"/>
        </w:rPr>
        <w:t xml:space="preserve"> </w:t>
      </w:r>
      <w:r w:rsidR="00EC0CEB" w:rsidRPr="00EF2CB0">
        <w:rPr>
          <w:sz w:val="22"/>
          <w:szCs w:val="22"/>
        </w:rPr>
        <w:t>messaging about the problem and its effects on the community</w:t>
      </w:r>
      <w:r w:rsidR="00B37B82" w:rsidRPr="00EF2CB0">
        <w:rPr>
          <w:sz w:val="22"/>
          <w:szCs w:val="22"/>
        </w:rPr>
        <w:t>.</w:t>
      </w:r>
      <w:r w:rsidR="00424335">
        <w:rPr>
          <w:sz w:val="22"/>
          <w:szCs w:val="22"/>
        </w:rPr>
        <w:t xml:space="preserve">  </w:t>
      </w:r>
      <w:r w:rsidR="008A71F3">
        <w:rPr>
          <w:sz w:val="22"/>
          <w:szCs w:val="22"/>
        </w:rPr>
        <w:t xml:space="preserve">This </w:t>
      </w:r>
      <w:r w:rsidR="00823347">
        <w:rPr>
          <w:sz w:val="22"/>
          <w:szCs w:val="22"/>
        </w:rPr>
        <w:t>could</w:t>
      </w:r>
      <w:r w:rsidR="008A71F3">
        <w:rPr>
          <w:sz w:val="22"/>
          <w:szCs w:val="22"/>
        </w:rPr>
        <w:t xml:space="preserve"> signal </w:t>
      </w:r>
      <w:r w:rsidR="00823347">
        <w:rPr>
          <w:sz w:val="22"/>
          <w:szCs w:val="22"/>
        </w:rPr>
        <w:t xml:space="preserve">the </w:t>
      </w:r>
      <w:r w:rsidR="008A71F3">
        <w:rPr>
          <w:sz w:val="22"/>
          <w:szCs w:val="22"/>
        </w:rPr>
        <w:t>necessity</w:t>
      </w:r>
      <w:r w:rsidR="00EC0CEB" w:rsidRPr="00EF2CB0">
        <w:rPr>
          <w:sz w:val="22"/>
          <w:szCs w:val="22"/>
        </w:rPr>
        <w:t xml:space="preserve"> </w:t>
      </w:r>
      <w:r w:rsidR="00C7657F">
        <w:rPr>
          <w:sz w:val="22"/>
          <w:szCs w:val="22"/>
        </w:rPr>
        <w:t>for</w:t>
      </w:r>
      <w:r w:rsidR="008643FC">
        <w:rPr>
          <w:sz w:val="22"/>
          <w:szCs w:val="22"/>
        </w:rPr>
        <w:t xml:space="preserve"> more community education or </w:t>
      </w:r>
      <w:r w:rsidR="00B02E91">
        <w:rPr>
          <w:sz w:val="22"/>
          <w:szCs w:val="22"/>
        </w:rPr>
        <w:t xml:space="preserve">a </w:t>
      </w:r>
      <w:r w:rsidR="008643FC">
        <w:rPr>
          <w:sz w:val="22"/>
          <w:szCs w:val="22"/>
        </w:rPr>
        <w:t xml:space="preserve">shift </w:t>
      </w:r>
      <w:r w:rsidR="00AB486F">
        <w:rPr>
          <w:sz w:val="22"/>
          <w:szCs w:val="22"/>
        </w:rPr>
        <w:t xml:space="preserve">in </w:t>
      </w:r>
      <w:r w:rsidR="008643FC">
        <w:rPr>
          <w:sz w:val="22"/>
          <w:szCs w:val="22"/>
        </w:rPr>
        <w:t xml:space="preserve">focus to </w:t>
      </w:r>
      <w:r w:rsidR="00EC0CEB" w:rsidRPr="00EF2CB0">
        <w:rPr>
          <w:sz w:val="22"/>
          <w:szCs w:val="22"/>
        </w:rPr>
        <w:t>a different community</w:t>
      </w:r>
      <w:r w:rsidR="00AB486F">
        <w:rPr>
          <w:sz w:val="22"/>
          <w:szCs w:val="22"/>
        </w:rPr>
        <w:t xml:space="preserve"> altogether</w:t>
      </w:r>
      <w:r w:rsidR="00341B0D">
        <w:rPr>
          <w:sz w:val="22"/>
          <w:szCs w:val="22"/>
        </w:rPr>
        <w:t xml:space="preserve">. </w:t>
      </w:r>
    </w:p>
    <w:p w14:paraId="7E9786FF" w14:textId="33DFE5AD" w:rsidR="00DE1BE0" w:rsidRPr="00087023" w:rsidRDefault="00DE1BE0" w:rsidP="00F95CCD">
      <w:pPr>
        <w:pStyle w:val="Default"/>
        <w:spacing w:after="120" w:line="259" w:lineRule="auto"/>
        <w:ind w:left="288" w:right="288"/>
        <w:rPr>
          <w:sz w:val="12"/>
          <w:szCs w:val="12"/>
        </w:rPr>
      </w:pPr>
    </w:p>
    <w:p w14:paraId="114749C7" w14:textId="6A80DB48" w:rsidR="00A02DB6" w:rsidRPr="00CA6E3E" w:rsidRDefault="00A02DB6" w:rsidP="00F95CCD">
      <w:pPr>
        <w:pStyle w:val="Heading2"/>
        <w:spacing w:after="240" w:line="276" w:lineRule="auto"/>
        <w:ind w:left="288" w:right="288"/>
      </w:pPr>
      <w:r>
        <w:t>Other – GIS Mapping</w:t>
      </w:r>
    </w:p>
    <w:p w14:paraId="5E536B5A" w14:textId="75BD8D97" w:rsidR="00CB5B03" w:rsidRDefault="0073017C" w:rsidP="001672A1">
      <w:pPr>
        <w:pStyle w:val="Default"/>
        <w:spacing w:after="120" w:line="259" w:lineRule="auto"/>
        <w:ind w:left="288"/>
        <w:rPr>
          <w:sz w:val="22"/>
          <w:szCs w:val="22"/>
        </w:rPr>
      </w:pPr>
      <w:r w:rsidRPr="00EF2CB0">
        <w:rPr>
          <w:sz w:val="22"/>
          <w:szCs w:val="22"/>
        </w:rPr>
        <w:t xml:space="preserve">GIS mapping </w:t>
      </w:r>
      <w:r w:rsidR="00963E4F" w:rsidRPr="00EF2CB0">
        <w:rPr>
          <w:sz w:val="22"/>
          <w:szCs w:val="22"/>
        </w:rPr>
        <w:t xml:space="preserve">can be </w:t>
      </w:r>
      <w:r w:rsidR="00C909AC">
        <w:rPr>
          <w:sz w:val="22"/>
          <w:szCs w:val="22"/>
        </w:rPr>
        <w:t>used</w:t>
      </w:r>
      <w:r w:rsidR="00143468" w:rsidRPr="00EF2CB0">
        <w:rPr>
          <w:sz w:val="22"/>
          <w:szCs w:val="22"/>
        </w:rPr>
        <w:t xml:space="preserve"> </w:t>
      </w:r>
      <w:r w:rsidR="00D76C36">
        <w:rPr>
          <w:sz w:val="22"/>
          <w:szCs w:val="22"/>
        </w:rPr>
        <w:t xml:space="preserve">to </w:t>
      </w:r>
      <w:r w:rsidR="0031013F" w:rsidRPr="00EF2CB0">
        <w:rPr>
          <w:sz w:val="22"/>
          <w:szCs w:val="22"/>
        </w:rPr>
        <w:t xml:space="preserve">identify social and health disparities by </w:t>
      </w:r>
      <w:r w:rsidR="00A968EC" w:rsidRPr="00EF2CB0">
        <w:rPr>
          <w:sz w:val="22"/>
          <w:szCs w:val="22"/>
        </w:rPr>
        <w:t xml:space="preserve">comparing the occurrence of certain conditions with the physical location of </w:t>
      </w:r>
      <w:r w:rsidR="00963E4F" w:rsidRPr="00EF2CB0">
        <w:rPr>
          <w:sz w:val="22"/>
          <w:szCs w:val="22"/>
        </w:rPr>
        <w:t>specific populations</w:t>
      </w:r>
      <w:r w:rsidR="005E341E" w:rsidRPr="00EF2CB0">
        <w:rPr>
          <w:sz w:val="22"/>
          <w:szCs w:val="22"/>
        </w:rPr>
        <w:t xml:space="preserve"> or neighborhoods</w:t>
      </w:r>
      <w:r w:rsidR="00341B0D">
        <w:rPr>
          <w:sz w:val="22"/>
          <w:szCs w:val="22"/>
        </w:rPr>
        <w:t xml:space="preserve">. </w:t>
      </w:r>
      <w:r w:rsidR="00430716" w:rsidRPr="00EF2CB0">
        <w:rPr>
          <w:sz w:val="22"/>
          <w:szCs w:val="22"/>
        </w:rPr>
        <w:t xml:space="preserve">For example, it </w:t>
      </w:r>
      <w:r w:rsidR="001672A1">
        <w:rPr>
          <w:sz w:val="22"/>
          <w:szCs w:val="22"/>
        </w:rPr>
        <w:t xml:space="preserve">can </w:t>
      </w:r>
      <w:r w:rsidR="0057351A">
        <w:rPr>
          <w:sz w:val="22"/>
          <w:szCs w:val="22"/>
        </w:rPr>
        <w:t>show</w:t>
      </w:r>
      <w:r w:rsidR="0057351A" w:rsidRPr="00EF2CB0">
        <w:rPr>
          <w:sz w:val="22"/>
          <w:szCs w:val="22"/>
        </w:rPr>
        <w:t xml:space="preserve"> </w:t>
      </w:r>
      <w:r w:rsidR="00430716" w:rsidRPr="00EF2CB0">
        <w:rPr>
          <w:sz w:val="22"/>
          <w:szCs w:val="22"/>
        </w:rPr>
        <w:t>which neighborhoods experience lower income</w:t>
      </w:r>
      <w:r w:rsidR="00216414" w:rsidRPr="00EF2CB0">
        <w:rPr>
          <w:sz w:val="22"/>
          <w:szCs w:val="22"/>
        </w:rPr>
        <w:t xml:space="preserve"> levels, </w:t>
      </w:r>
      <w:r w:rsidR="00D414BE" w:rsidRPr="00EF2CB0">
        <w:rPr>
          <w:sz w:val="22"/>
          <w:szCs w:val="22"/>
        </w:rPr>
        <w:t>tobacco usage</w:t>
      </w:r>
      <w:r w:rsidR="005376AB">
        <w:rPr>
          <w:sz w:val="22"/>
          <w:szCs w:val="22"/>
        </w:rPr>
        <w:t xml:space="preserve">, </w:t>
      </w:r>
      <w:r w:rsidR="005376AB" w:rsidRPr="00EF2CB0">
        <w:rPr>
          <w:sz w:val="22"/>
          <w:szCs w:val="22"/>
        </w:rPr>
        <w:t xml:space="preserve">health problems, </w:t>
      </w:r>
      <w:r w:rsidR="00D414BE" w:rsidRPr="00EF2CB0">
        <w:rPr>
          <w:sz w:val="22"/>
          <w:szCs w:val="22"/>
        </w:rPr>
        <w:t>or people living in multi-family housing</w:t>
      </w:r>
      <w:r w:rsidR="00341B0D">
        <w:rPr>
          <w:sz w:val="22"/>
          <w:szCs w:val="22"/>
        </w:rPr>
        <w:t xml:space="preserve">. </w:t>
      </w:r>
      <w:r w:rsidR="0028544B" w:rsidRPr="00EF2CB0">
        <w:rPr>
          <w:sz w:val="22"/>
          <w:szCs w:val="22"/>
        </w:rPr>
        <w:t xml:space="preserve">It can be used to </w:t>
      </w:r>
      <w:r w:rsidR="00143468" w:rsidRPr="00EF2CB0">
        <w:rPr>
          <w:sz w:val="22"/>
          <w:szCs w:val="22"/>
        </w:rPr>
        <w:t>determin</w:t>
      </w:r>
      <w:r w:rsidR="00570089" w:rsidRPr="00EF2CB0">
        <w:rPr>
          <w:sz w:val="22"/>
          <w:szCs w:val="22"/>
        </w:rPr>
        <w:t>e</w:t>
      </w:r>
      <w:r w:rsidR="00143468" w:rsidRPr="00EF2CB0">
        <w:rPr>
          <w:sz w:val="22"/>
          <w:szCs w:val="22"/>
        </w:rPr>
        <w:t xml:space="preserve"> the </w:t>
      </w:r>
      <w:r w:rsidR="00C642D1" w:rsidRPr="00EF2CB0">
        <w:rPr>
          <w:sz w:val="22"/>
          <w:szCs w:val="22"/>
        </w:rPr>
        <w:t>density</w:t>
      </w:r>
      <w:r w:rsidR="00570089" w:rsidRPr="00EF2CB0">
        <w:rPr>
          <w:sz w:val="22"/>
          <w:szCs w:val="22"/>
        </w:rPr>
        <w:t xml:space="preserve"> and </w:t>
      </w:r>
      <w:r w:rsidR="00143468" w:rsidRPr="00EF2CB0">
        <w:rPr>
          <w:sz w:val="22"/>
          <w:szCs w:val="22"/>
        </w:rPr>
        <w:t xml:space="preserve">proximity of </w:t>
      </w:r>
      <w:r w:rsidR="00C642D1" w:rsidRPr="00EF2CB0">
        <w:rPr>
          <w:sz w:val="22"/>
          <w:szCs w:val="22"/>
        </w:rPr>
        <w:t xml:space="preserve">tobacco retailers to </w:t>
      </w:r>
      <w:r w:rsidR="00E01AE9" w:rsidRPr="00EF2CB0">
        <w:rPr>
          <w:sz w:val="22"/>
          <w:szCs w:val="22"/>
        </w:rPr>
        <w:t>youth-oriented sites like schools, youth centers</w:t>
      </w:r>
      <w:r w:rsidR="006703B6">
        <w:rPr>
          <w:sz w:val="22"/>
          <w:szCs w:val="22"/>
        </w:rPr>
        <w:t>,</w:t>
      </w:r>
      <w:r w:rsidR="00E01AE9" w:rsidRPr="00EF2CB0">
        <w:rPr>
          <w:sz w:val="22"/>
          <w:szCs w:val="22"/>
        </w:rPr>
        <w:t xml:space="preserve"> or parks</w:t>
      </w:r>
      <w:r w:rsidR="00341B0D">
        <w:rPr>
          <w:sz w:val="22"/>
          <w:szCs w:val="22"/>
        </w:rPr>
        <w:t xml:space="preserve">. </w:t>
      </w:r>
      <w:r w:rsidR="00597D3F" w:rsidRPr="00EF2CB0">
        <w:rPr>
          <w:sz w:val="22"/>
          <w:szCs w:val="22"/>
        </w:rPr>
        <w:t xml:space="preserve">With this data, you can make a compelling case to </w:t>
      </w:r>
      <w:r w:rsidR="00A665F0" w:rsidRPr="00EF2CB0">
        <w:rPr>
          <w:sz w:val="22"/>
          <w:szCs w:val="22"/>
        </w:rPr>
        <w:t xml:space="preserve">community members and decision makers that neighborhoods are </w:t>
      </w:r>
      <w:r w:rsidR="005D41A8">
        <w:rPr>
          <w:sz w:val="22"/>
          <w:szCs w:val="22"/>
        </w:rPr>
        <w:t xml:space="preserve">being </w:t>
      </w:r>
      <w:r w:rsidR="00A665F0" w:rsidRPr="00EF2CB0">
        <w:rPr>
          <w:sz w:val="22"/>
          <w:szCs w:val="22"/>
        </w:rPr>
        <w:t xml:space="preserve">unfairly targeted or are suffering </w:t>
      </w:r>
      <w:r w:rsidR="00D821D4" w:rsidRPr="00EF2CB0">
        <w:rPr>
          <w:sz w:val="22"/>
          <w:szCs w:val="22"/>
        </w:rPr>
        <w:t>from problems inequitably</w:t>
      </w:r>
      <w:r w:rsidR="00341B0D">
        <w:rPr>
          <w:sz w:val="22"/>
          <w:szCs w:val="22"/>
        </w:rPr>
        <w:t xml:space="preserve">. </w:t>
      </w:r>
      <w:r w:rsidR="00A529B4" w:rsidRPr="00EF2CB0">
        <w:rPr>
          <w:sz w:val="22"/>
          <w:szCs w:val="22"/>
        </w:rPr>
        <w:t xml:space="preserve">Findings then can become tools for </w:t>
      </w:r>
      <w:r w:rsidR="009E2202" w:rsidRPr="00EF2CB0">
        <w:rPr>
          <w:sz w:val="22"/>
          <w:szCs w:val="22"/>
        </w:rPr>
        <w:t xml:space="preserve">education, recruitment, </w:t>
      </w:r>
      <w:r w:rsidR="002B3443" w:rsidRPr="00EF2CB0">
        <w:rPr>
          <w:sz w:val="22"/>
          <w:szCs w:val="22"/>
        </w:rPr>
        <w:t>mobilization,</w:t>
      </w:r>
      <w:r w:rsidR="009E2202" w:rsidRPr="00EF2CB0">
        <w:rPr>
          <w:sz w:val="22"/>
          <w:szCs w:val="22"/>
        </w:rPr>
        <w:t xml:space="preserve"> </w:t>
      </w:r>
      <w:r w:rsidR="00B95AA4">
        <w:rPr>
          <w:sz w:val="22"/>
          <w:szCs w:val="22"/>
        </w:rPr>
        <w:t>resource allocation</w:t>
      </w:r>
      <w:r w:rsidR="00B35BBF">
        <w:rPr>
          <w:sz w:val="22"/>
          <w:szCs w:val="22"/>
        </w:rPr>
        <w:t>,</w:t>
      </w:r>
      <w:r w:rsidR="00B95AA4">
        <w:rPr>
          <w:sz w:val="22"/>
          <w:szCs w:val="22"/>
        </w:rPr>
        <w:t xml:space="preserve"> </w:t>
      </w:r>
      <w:r w:rsidR="009E2202" w:rsidRPr="00EF2CB0">
        <w:rPr>
          <w:sz w:val="22"/>
          <w:szCs w:val="22"/>
        </w:rPr>
        <w:t xml:space="preserve">and </w:t>
      </w:r>
      <w:r w:rsidR="00B95AA4">
        <w:rPr>
          <w:sz w:val="22"/>
          <w:szCs w:val="22"/>
        </w:rPr>
        <w:t>policy solutions</w:t>
      </w:r>
      <w:r w:rsidR="009E2202" w:rsidRPr="00EF2CB0">
        <w:rPr>
          <w:sz w:val="22"/>
          <w:szCs w:val="22"/>
        </w:rPr>
        <w:t>!</w:t>
      </w:r>
    </w:p>
    <w:p w14:paraId="110C86B9" w14:textId="77777777" w:rsidR="006E2B61" w:rsidRPr="006E2B61" w:rsidRDefault="006E2B61" w:rsidP="00F95CCD">
      <w:pPr>
        <w:pStyle w:val="Default"/>
        <w:spacing w:after="120" w:line="259" w:lineRule="auto"/>
        <w:ind w:left="288" w:right="288"/>
        <w:rPr>
          <w:sz w:val="12"/>
          <w:szCs w:val="12"/>
        </w:rPr>
      </w:pPr>
    </w:p>
    <w:p w14:paraId="7DDDA6FD" w14:textId="01B3B5F1" w:rsidR="00A02DB6" w:rsidRPr="00CA6E3E" w:rsidRDefault="00A02DB6" w:rsidP="00F95CCD">
      <w:pPr>
        <w:pStyle w:val="Heading2"/>
        <w:spacing w:after="240" w:line="276" w:lineRule="auto"/>
        <w:ind w:left="288" w:right="288"/>
      </w:pPr>
      <w:r>
        <w:t>Other – Consumer/Material</w:t>
      </w:r>
      <w:r w:rsidR="00C55B1A">
        <w:t xml:space="preserve"> Testing</w:t>
      </w:r>
    </w:p>
    <w:p w14:paraId="08A49520" w14:textId="1181F5ED" w:rsidR="00CC4556" w:rsidRPr="00CC4556" w:rsidRDefault="009919C2" w:rsidP="00027BA5">
      <w:pPr>
        <w:pStyle w:val="Default"/>
        <w:spacing w:after="120" w:line="259" w:lineRule="auto"/>
        <w:ind w:left="288" w:right="288"/>
      </w:pPr>
      <w:r w:rsidRPr="00EF2CB0">
        <w:rPr>
          <w:sz w:val="22"/>
          <w:szCs w:val="22"/>
        </w:rPr>
        <w:t>Testing the appeal and “stickiness” of newly developed advertisements, educational materials</w:t>
      </w:r>
      <w:r w:rsidR="00027BA5">
        <w:rPr>
          <w:sz w:val="22"/>
          <w:szCs w:val="22"/>
        </w:rPr>
        <w:t>,</w:t>
      </w:r>
      <w:r w:rsidRPr="00EF2CB0">
        <w:rPr>
          <w:sz w:val="22"/>
          <w:szCs w:val="22"/>
        </w:rPr>
        <w:t xml:space="preserve"> and presentations helps ensure that key messages are understood, </w:t>
      </w:r>
      <w:r w:rsidR="002B3443" w:rsidRPr="00EF2CB0">
        <w:rPr>
          <w:sz w:val="22"/>
          <w:szCs w:val="22"/>
        </w:rPr>
        <w:t>remembered,</w:t>
      </w:r>
      <w:r w:rsidRPr="00EF2CB0">
        <w:rPr>
          <w:sz w:val="22"/>
          <w:szCs w:val="22"/>
        </w:rPr>
        <w:t xml:space="preserve"> and resonat</w:t>
      </w:r>
      <w:r w:rsidR="008643FC">
        <w:rPr>
          <w:sz w:val="22"/>
          <w:szCs w:val="22"/>
        </w:rPr>
        <w:t>e</w:t>
      </w:r>
      <w:r w:rsidRPr="00EF2CB0">
        <w:rPr>
          <w:sz w:val="22"/>
          <w:szCs w:val="22"/>
        </w:rPr>
        <w:t xml:space="preserve"> with those you want to reach</w:t>
      </w:r>
      <w:r w:rsidR="00341B0D">
        <w:rPr>
          <w:sz w:val="22"/>
          <w:szCs w:val="22"/>
        </w:rPr>
        <w:t xml:space="preserve">. </w:t>
      </w:r>
      <w:r w:rsidR="00A57030">
        <w:rPr>
          <w:sz w:val="22"/>
          <w:szCs w:val="22"/>
        </w:rPr>
        <w:t xml:space="preserve">Instead of assuming </w:t>
      </w:r>
      <w:r w:rsidR="00F80709">
        <w:rPr>
          <w:sz w:val="22"/>
          <w:szCs w:val="22"/>
        </w:rPr>
        <w:t xml:space="preserve">that </w:t>
      </w:r>
      <w:r w:rsidR="00A57030">
        <w:rPr>
          <w:sz w:val="22"/>
          <w:szCs w:val="22"/>
        </w:rPr>
        <w:t>one size fits all</w:t>
      </w:r>
      <w:r w:rsidR="00417A77">
        <w:rPr>
          <w:sz w:val="22"/>
          <w:szCs w:val="22"/>
        </w:rPr>
        <w:t>,</w:t>
      </w:r>
      <w:r w:rsidR="00BD49F7">
        <w:rPr>
          <w:sz w:val="22"/>
          <w:szCs w:val="22"/>
        </w:rPr>
        <w:t xml:space="preserve"> it’s important to </w:t>
      </w:r>
      <w:r w:rsidR="00351AB0">
        <w:rPr>
          <w:sz w:val="22"/>
          <w:szCs w:val="22"/>
        </w:rPr>
        <w:t>proactively assess</w:t>
      </w:r>
      <w:r w:rsidR="00BC0E95">
        <w:rPr>
          <w:sz w:val="22"/>
          <w:szCs w:val="22"/>
        </w:rPr>
        <w:t xml:space="preserve"> how those materials </w:t>
      </w:r>
      <w:r w:rsidR="00624018">
        <w:rPr>
          <w:sz w:val="22"/>
          <w:szCs w:val="22"/>
        </w:rPr>
        <w:t xml:space="preserve">work with </w:t>
      </w:r>
      <w:r w:rsidR="00126E85">
        <w:rPr>
          <w:sz w:val="22"/>
          <w:szCs w:val="22"/>
        </w:rPr>
        <w:t>different</w:t>
      </w:r>
      <w:r w:rsidR="00624018">
        <w:rPr>
          <w:sz w:val="22"/>
          <w:szCs w:val="22"/>
        </w:rPr>
        <w:t xml:space="preserve"> priority populations. </w:t>
      </w:r>
      <w:r w:rsidRPr="00EF2CB0">
        <w:rPr>
          <w:sz w:val="22"/>
          <w:szCs w:val="22"/>
        </w:rPr>
        <w:t>Survey</w:t>
      </w:r>
      <w:r w:rsidR="00027BA5">
        <w:rPr>
          <w:sz w:val="22"/>
          <w:szCs w:val="22"/>
        </w:rPr>
        <w:t>s,</w:t>
      </w:r>
      <w:r w:rsidR="00341B0D">
        <w:rPr>
          <w:sz w:val="22"/>
          <w:szCs w:val="22"/>
        </w:rPr>
        <w:t xml:space="preserve"> interview</w:t>
      </w:r>
      <w:r w:rsidR="00027BA5">
        <w:rPr>
          <w:sz w:val="22"/>
          <w:szCs w:val="22"/>
        </w:rPr>
        <w:t>s,</w:t>
      </w:r>
      <w:r w:rsidRPr="00EF2CB0">
        <w:rPr>
          <w:sz w:val="22"/>
          <w:szCs w:val="22"/>
        </w:rPr>
        <w:t xml:space="preserve"> or group </w:t>
      </w:r>
      <w:r w:rsidR="008D357A">
        <w:rPr>
          <w:sz w:val="22"/>
          <w:szCs w:val="22"/>
        </w:rPr>
        <w:t xml:space="preserve">discussion </w:t>
      </w:r>
      <w:r w:rsidRPr="00EF2CB0">
        <w:rPr>
          <w:sz w:val="22"/>
          <w:szCs w:val="22"/>
        </w:rPr>
        <w:t xml:space="preserve">data can help fine-tune project materials so that they </w:t>
      </w:r>
      <w:r w:rsidR="00341B0D">
        <w:rPr>
          <w:sz w:val="22"/>
          <w:szCs w:val="22"/>
        </w:rPr>
        <w:t xml:space="preserve">are </w:t>
      </w:r>
      <w:r w:rsidRPr="00EF2CB0">
        <w:rPr>
          <w:sz w:val="22"/>
          <w:szCs w:val="22"/>
        </w:rPr>
        <w:t>as effective as possible in conveying your messag</w:t>
      </w:r>
      <w:r w:rsidR="00341B0D">
        <w:rPr>
          <w:sz w:val="22"/>
          <w:szCs w:val="22"/>
        </w:rPr>
        <w:t>e</w:t>
      </w:r>
      <w:r w:rsidRPr="00EF2CB0">
        <w:rPr>
          <w:sz w:val="22"/>
          <w:szCs w:val="22"/>
        </w:rPr>
        <w:t xml:space="preserve"> and educating, </w:t>
      </w:r>
      <w:r w:rsidR="002B3443" w:rsidRPr="00EF2CB0">
        <w:rPr>
          <w:sz w:val="22"/>
          <w:szCs w:val="22"/>
        </w:rPr>
        <w:t>persuading,</w:t>
      </w:r>
      <w:r w:rsidRPr="00EF2CB0">
        <w:rPr>
          <w:sz w:val="22"/>
          <w:szCs w:val="22"/>
        </w:rPr>
        <w:t xml:space="preserve"> and mobilizing people to support your efforts.</w:t>
      </w:r>
      <w:r w:rsidR="00AD7EE1">
        <w:rPr>
          <w:sz w:val="22"/>
          <w:szCs w:val="22"/>
        </w:rPr>
        <w:t xml:space="preserve"> </w:t>
      </w:r>
      <w:r w:rsidR="00174CE0">
        <w:rPr>
          <w:sz w:val="22"/>
          <w:szCs w:val="22"/>
        </w:rPr>
        <w:t>This process makes room for you to include the perspectives and voices of those who are all too often underrepresented or discounted.</w:t>
      </w:r>
      <w:r w:rsidR="001A4980">
        <w:rPr>
          <w:sz w:val="22"/>
          <w:szCs w:val="22"/>
        </w:rPr>
        <w:t xml:space="preserve"> </w:t>
      </w:r>
      <w:r w:rsidR="00624018">
        <w:rPr>
          <w:sz w:val="22"/>
          <w:szCs w:val="22"/>
        </w:rPr>
        <w:t>Without chec</w:t>
      </w:r>
      <w:r w:rsidR="007913DD">
        <w:rPr>
          <w:sz w:val="22"/>
          <w:szCs w:val="22"/>
        </w:rPr>
        <w:t xml:space="preserve">king whether </w:t>
      </w:r>
      <w:r w:rsidR="00A14860">
        <w:rPr>
          <w:sz w:val="22"/>
          <w:szCs w:val="22"/>
        </w:rPr>
        <w:t>materials</w:t>
      </w:r>
      <w:r w:rsidR="007913DD">
        <w:rPr>
          <w:sz w:val="22"/>
          <w:szCs w:val="22"/>
        </w:rPr>
        <w:t xml:space="preserve"> </w:t>
      </w:r>
      <w:r w:rsidR="002E0F11">
        <w:rPr>
          <w:sz w:val="22"/>
          <w:szCs w:val="22"/>
        </w:rPr>
        <w:t>ring true</w:t>
      </w:r>
      <w:r w:rsidR="007913DD">
        <w:rPr>
          <w:sz w:val="22"/>
          <w:szCs w:val="22"/>
        </w:rPr>
        <w:t xml:space="preserve"> with </w:t>
      </w:r>
      <w:r w:rsidR="00A14860">
        <w:rPr>
          <w:sz w:val="22"/>
          <w:szCs w:val="22"/>
        </w:rPr>
        <w:t>populations of intere</w:t>
      </w:r>
      <w:r w:rsidR="00D7741E">
        <w:rPr>
          <w:sz w:val="22"/>
          <w:szCs w:val="22"/>
        </w:rPr>
        <w:t xml:space="preserve">st, you could unintentionally perpetuate </w:t>
      </w:r>
      <w:r w:rsidR="00FD3FC7">
        <w:rPr>
          <w:sz w:val="22"/>
          <w:szCs w:val="22"/>
        </w:rPr>
        <w:t>the very health inequities</w:t>
      </w:r>
      <w:r w:rsidR="00A14860">
        <w:rPr>
          <w:sz w:val="22"/>
          <w:szCs w:val="22"/>
        </w:rPr>
        <w:t xml:space="preserve"> </w:t>
      </w:r>
      <w:r w:rsidR="00FD3FC7">
        <w:rPr>
          <w:sz w:val="22"/>
          <w:szCs w:val="22"/>
        </w:rPr>
        <w:t xml:space="preserve">you are </w:t>
      </w:r>
      <w:r w:rsidR="00067320">
        <w:rPr>
          <w:sz w:val="22"/>
          <w:szCs w:val="22"/>
        </w:rPr>
        <w:t>tryin</w:t>
      </w:r>
      <w:r w:rsidR="00FD3FC7">
        <w:rPr>
          <w:sz w:val="22"/>
          <w:szCs w:val="22"/>
        </w:rPr>
        <w:t>g to address.</w:t>
      </w:r>
      <w:r w:rsidR="00CC4556">
        <w:tab/>
      </w:r>
    </w:p>
    <w:sectPr w:rsidR="00CC4556" w:rsidRPr="00CC4556" w:rsidSect="00453F1B">
      <w:footerReference w:type="default" r:id="rId9"/>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2202" w14:textId="77777777" w:rsidR="001C79EB" w:rsidRDefault="001C79EB" w:rsidP="008E514B">
      <w:pPr>
        <w:spacing w:after="0" w:line="240" w:lineRule="auto"/>
      </w:pPr>
      <w:r>
        <w:separator/>
      </w:r>
    </w:p>
  </w:endnote>
  <w:endnote w:type="continuationSeparator" w:id="0">
    <w:p w14:paraId="1AC25B18" w14:textId="77777777" w:rsidR="001C79EB" w:rsidRDefault="001C79EB" w:rsidP="008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511" w14:textId="3D7CB396" w:rsidR="00BA1DC0" w:rsidRDefault="00BA1DC0" w:rsidP="00BA1DC0">
    <w:pPr>
      <w:pStyle w:val="NormalWeb"/>
      <w:jc w:val="center"/>
      <w:rPr>
        <w:rFonts w:ascii="Calibri" w:hAnsi="Calibri" w:cs="Arial"/>
        <w:color w:val="808080"/>
        <w:sz w:val="18"/>
        <w:szCs w:val="18"/>
      </w:rPr>
    </w:pPr>
    <w:bookmarkStart w:id="0" w:name="_Hlk99368061"/>
    <w:r>
      <w:rPr>
        <w:rFonts w:ascii="Calibri" w:hAnsi="Calibri" w:cs="Arial"/>
        <w:color w:val="808080"/>
        <w:sz w:val="18"/>
        <w:szCs w:val="18"/>
      </w:rPr>
      <w:t>© 2022. California Department of Public Health. Funded under contract #20-10273.</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66E2" w14:textId="77777777" w:rsidR="001C79EB" w:rsidRDefault="001C79EB" w:rsidP="008E514B">
      <w:pPr>
        <w:spacing w:after="0" w:line="240" w:lineRule="auto"/>
      </w:pPr>
      <w:r>
        <w:separator/>
      </w:r>
    </w:p>
  </w:footnote>
  <w:footnote w:type="continuationSeparator" w:id="0">
    <w:p w14:paraId="0F427D02" w14:textId="77777777" w:rsidR="001C79EB" w:rsidRDefault="001C79EB" w:rsidP="008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038B3"/>
    <w:multiLevelType w:val="hybridMultilevel"/>
    <w:tmpl w:val="DF90322E"/>
    <w:lvl w:ilvl="0" w:tplc="04090005">
      <w:start w:val="1"/>
      <w:numFmt w:val="bullet"/>
      <w:lvlText w:val=""/>
      <w:lvlJc w:val="left"/>
      <w:pPr>
        <w:ind w:left="3942" w:hanging="360"/>
      </w:pPr>
      <w:rPr>
        <w:rFonts w:ascii="Wingdings" w:hAnsi="Wingdings" w:hint="default"/>
      </w:rPr>
    </w:lvl>
    <w:lvl w:ilvl="1" w:tplc="04090003" w:tentative="1">
      <w:start w:val="1"/>
      <w:numFmt w:val="bullet"/>
      <w:lvlText w:val="o"/>
      <w:lvlJc w:val="left"/>
      <w:pPr>
        <w:ind w:left="4662" w:hanging="360"/>
      </w:pPr>
      <w:rPr>
        <w:rFonts w:ascii="Courier New" w:hAnsi="Courier New" w:cs="Courier New" w:hint="default"/>
      </w:rPr>
    </w:lvl>
    <w:lvl w:ilvl="2" w:tplc="04090005" w:tentative="1">
      <w:start w:val="1"/>
      <w:numFmt w:val="bullet"/>
      <w:lvlText w:val=""/>
      <w:lvlJc w:val="left"/>
      <w:pPr>
        <w:ind w:left="5382" w:hanging="360"/>
      </w:pPr>
      <w:rPr>
        <w:rFonts w:ascii="Wingdings" w:hAnsi="Wingdings" w:hint="default"/>
      </w:rPr>
    </w:lvl>
    <w:lvl w:ilvl="3" w:tplc="04090001" w:tentative="1">
      <w:start w:val="1"/>
      <w:numFmt w:val="bullet"/>
      <w:lvlText w:val=""/>
      <w:lvlJc w:val="left"/>
      <w:pPr>
        <w:ind w:left="6102" w:hanging="360"/>
      </w:pPr>
      <w:rPr>
        <w:rFonts w:ascii="Symbol" w:hAnsi="Symbol" w:hint="default"/>
      </w:rPr>
    </w:lvl>
    <w:lvl w:ilvl="4" w:tplc="04090003" w:tentative="1">
      <w:start w:val="1"/>
      <w:numFmt w:val="bullet"/>
      <w:lvlText w:val="o"/>
      <w:lvlJc w:val="left"/>
      <w:pPr>
        <w:ind w:left="6822" w:hanging="360"/>
      </w:pPr>
      <w:rPr>
        <w:rFonts w:ascii="Courier New" w:hAnsi="Courier New" w:cs="Courier New" w:hint="default"/>
      </w:rPr>
    </w:lvl>
    <w:lvl w:ilvl="5" w:tplc="04090005" w:tentative="1">
      <w:start w:val="1"/>
      <w:numFmt w:val="bullet"/>
      <w:lvlText w:val=""/>
      <w:lvlJc w:val="left"/>
      <w:pPr>
        <w:ind w:left="7542" w:hanging="360"/>
      </w:pPr>
      <w:rPr>
        <w:rFonts w:ascii="Wingdings" w:hAnsi="Wingdings" w:hint="default"/>
      </w:rPr>
    </w:lvl>
    <w:lvl w:ilvl="6" w:tplc="04090001" w:tentative="1">
      <w:start w:val="1"/>
      <w:numFmt w:val="bullet"/>
      <w:lvlText w:val=""/>
      <w:lvlJc w:val="left"/>
      <w:pPr>
        <w:ind w:left="8262" w:hanging="360"/>
      </w:pPr>
      <w:rPr>
        <w:rFonts w:ascii="Symbol" w:hAnsi="Symbol" w:hint="default"/>
      </w:rPr>
    </w:lvl>
    <w:lvl w:ilvl="7" w:tplc="04090003" w:tentative="1">
      <w:start w:val="1"/>
      <w:numFmt w:val="bullet"/>
      <w:lvlText w:val="o"/>
      <w:lvlJc w:val="left"/>
      <w:pPr>
        <w:ind w:left="8982" w:hanging="360"/>
      </w:pPr>
      <w:rPr>
        <w:rFonts w:ascii="Courier New" w:hAnsi="Courier New" w:cs="Courier New" w:hint="default"/>
      </w:rPr>
    </w:lvl>
    <w:lvl w:ilvl="8" w:tplc="04090005" w:tentative="1">
      <w:start w:val="1"/>
      <w:numFmt w:val="bullet"/>
      <w:lvlText w:val=""/>
      <w:lvlJc w:val="left"/>
      <w:pPr>
        <w:ind w:left="9702" w:hanging="360"/>
      </w:pPr>
      <w:rPr>
        <w:rFonts w:ascii="Wingdings" w:hAnsi="Wingdings" w:hint="default"/>
      </w:rPr>
    </w:lvl>
  </w:abstractNum>
  <w:abstractNum w:abstractNumId="1" w15:restartNumberingAfterBreak="0">
    <w:nsid w:val="4B315962"/>
    <w:multiLevelType w:val="hybridMultilevel"/>
    <w:tmpl w:val="8BAE390E"/>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F2ED9"/>
    <w:multiLevelType w:val="hybridMultilevel"/>
    <w:tmpl w:val="D93C6380"/>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8013E"/>
    <w:multiLevelType w:val="hybridMultilevel"/>
    <w:tmpl w:val="A4F034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7"/>
    <w:rsid w:val="00001C25"/>
    <w:rsid w:val="0000751E"/>
    <w:rsid w:val="00015666"/>
    <w:rsid w:val="00016042"/>
    <w:rsid w:val="00023656"/>
    <w:rsid w:val="00027BA5"/>
    <w:rsid w:val="00067320"/>
    <w:rsid w:val="0007380E"/>
    <w:rsid w:val="00074F6A"/>
    <w:rsid w:val="00077002"/>
    <w:rsid w:val="00087023"/>
    <w:rsid w:val="000A4BA2"/>
    <w:rsid w:val="000B2414"/>
    <w:rsid w:val="000B5FEB"/>
    <w:rsid w:val="000C2DEC"/>
    <w:rsid w:val="000F1E57"/>
    <w:rsid w:val="00100CDC"/>
    <w:rsid w:val="00114097"/>
    <w:rsid w:val="00115B6D"/>
    <w:rsid w:val="00126E85"/>
    <w:rsid w:val="001407F5"/>
    <w:rsid w:val="00143468"/>
    <w:rsid w:val="001572CE"/>
    <w:rsid w:val="00164306"/>
    <w:rsid w:val="001672A1"/>
    <w:rsid w:val="00174CE0"/>
    <w:rsid w:val="001823EE"/>
    <w:rsid w:val="00186EBD"/>
    <w:rsid w:val="00187833"/>
    <w:rsid w:val="0019335C"/>
    <w:rsid w:val="001A1257"/>
    <w:rsid w:val="001A46DB"/>
    <w:rsid w:val="001A4980"/>
    <w:rsid w:val="001A611E"/>
    <w:rsid w:val="001B39C5"/>
    <w:rsid w:val="001C49C1"/>
    <w:rsid w:val="001C79EB"/>
    <w:rsid w:val="001E6EF3"/>
    <w:rsid w:val="00201E03"/>
    <w:rsid w:val="00203BBD"/>
    <w:rsid w:val="00206955"/>
    <w:rsid w:val="00216414"/>
    <w:rsid w:val="00246746"/>
    <w:rsid w:val="00265E1F"/>
    <w:rsid w:val="00270C39"/>
    <w:rsid w:val="002715D4"/>
    <w:rsid w:val="00276C4A"/>
    <w:rsid w:val="0028544B"/>
    <w:rsid w:val="00287B0D"/>
    <w:rsid w:val="00294191"/>
    <w:rsid w:val="002B3443"/>
    <w:rsid w:val="002B632C"/>
    <w:rsid w:val="002B69D6"/>
    <w:rsid w:val="002B76C8"/>
    <w:rsid w:val="002C5F87"/>
    <w:rsid w:val="002C6031"/>
    <w:rsid w:val="002E0F11"/>
    <w:rsid w:val="002E5D23"/>
    <w:rsid w:val="002F43A7"/>
    <w:rsid w:val="002F4FF1"/>
    <w:rsid w:val="002F6027"/>
    <w:rsid w:val="00303913"/>
    <w:rsid w:val="0031013F"/>
    <w:rsid w:val="003235D1"/>
    <w:rsid w:val="00327B30"/>
    <w:rsid w:val="00341B0D"/>
    <w:rsid w:val="00343D08"/>
    <w:rsid w:val="00347D1E"/>
    <w:rsid w:val="00351AB0"/>
    <w:rsid w:val="003724BB"/>
    <w:rsid w:val="0037431E"/>
    <w:rsid w:val="00375FCB"/>
    <w:rsid w:val="003A05FA"/>
    <w:rsid w:val="003A0791"/>
    <w:rsid w:val="003A79C9"/>
    <w:rsid w:val="003B2749"/>
    <w:rsid w:val="003B3CDB"/>
    <w:rsid w:val="003C78C6"/>
    <w:rsid w:val="003D44C1"/>
    <w:rsid w:val="003F0690"/>
    <w:rsid w:val="003F33E1"/>
    <w:rsid w:val="003F7BBE"/>
    <w:rsid w:val="0040173F"/>
    <w:rsid w:val="00416863"/>
    <w:rsid w:val="00417A77"/>
    <w:rsid w:val="00424335"/>
    <w:rsid w:val="0042595A"/>
    <w:rsid w:val="00430716"/>
    <w:rsid w:val="0043432D"/>
    <w:rsid w:val="00434CC2"/>
    <w:rsid w:val="00435773"/>
    <w:rsid w:val="00453F1B"/>
    <w:rsid w:val="00456FF2"/>
    <w:rsid w:val="00486DDB"/>
    <w:rsid w:val="004B0067"/>
    <w:rsid w:val="004B4AA1"/>
    <w:rsid w:val="004C5FD7"/>
    <w:rsid w:val="004E5F41"/>
    <w:rsid w:val="004F7DD5"/>
    <w:rsid w:val="00512852"/>
    <w:rsid w:val="005224E9"/>
    <w:rsid w:val="005376AB"/>
    <w:rsid w:val="0054677C"/>
    <w:rsid w:val="00551D21"/>
    <w:rsid w:val="00556F6E"/>
    <w:rsid w:val="00566F34"/>
    <w:rsid w:val="00570089"/>
    <w:rsid w:val="0057057A"/>
    <w:rsid w:val="0057351A"/>
    <w:rsid w:val="00573A83"/>
    <w:rsid w:val="005751A5"/>
    <w:rsid w:val="00585D72"/>
    <w:rsid w:val="005979B1"/>
    <w:rsid w:val="00597D3F"/>
    <w:rsid w:val="005A202C"/>
    <w:rsid w:val="005C404E"/>
    <w:rsid w:val="005D41A8"/>
    <w:rsid w:val="005E341E"/>
    <w:rsid w:val="006109AF"/>
    <w:rsid w:val="006179C6"/>
    <w:rsid w:val="00617C73"/>
    <w:rsid w:val="00624018"/>
    <w:rsid w:val="00631E15"/>
    <w:rsid w:val="00666C89"/>
    <w:rsid w:val="006703B6"/>
    <w:rsid w:val="006725F8"/>
    <w:rsid w:val="0068124C"/>
    <w:rsid w:val="00681BC3"/>
    <w:rsid w:val="00683731"/>
    <w:rsid w:val="00684DA2"/>
    <w:rsid w:val="00684F7C"/>
    <w:rsid w:val="00694E6D"/>
    <w:rsid w:val="006E1FA9"/>
    <w:rsid w:val="006E1FAC"/>
    <w:rsid w:val="006E23E8"/>
    <w:rsid w:val="006E2B61"/>
    <w:rsid w:val="006E716D"/>
    <w:rsid w:val="00704DCF"/>
    <w:rsid w:val="00705204"/>
    <w:rsid w:val="00706140"/>
    <w:rsid w:val="00706B96"/>
    <w:rsid w:val="0073017C"/>
    <w:rsid w:val="0074079B"/>
    <w:rsid w:val="00742E2B"/>
    <w:rsid w:val="0074315C"/>
    <w:rsid w:val="00761C6E"/>
    <w:rsid w:val="0076595E"/>
    <w:rsid w:val="007723F4"/>
    <w:rsid w:val="00781F1F"/>
    <w:rsid w:val="007873DC"/>
    <w:rsid w:val="007913DD"/>
    <w:rsid w:val="00792C0A"/>
    <w:rsid w:val="007D0192"/>
    <w:rsid w:val="007D6FD8"/>
    <w:rsid w:val="008014DF"/>
    <w:rsid w:val="0080168B"/>
    <w:rsid w:val="0081267B"/>
    <w:rsid w:val="0081457C"/>
    <w:rsid w:val="00821923"/>
    <w:rsid w:val="00822571"/>
    <w:rsid w:val="00823347"/>
    <w:rsid w:val="0083033F"/>
    <w:rsid w:val="00840F78"/>
    <w:rsid w:val="008437C8"/>
    <w:rsid w:val="008544F1"/>
    <w:rsid w:val="008643FC"/>
    <w:rsid w:val="0087114C"/>
    <w:rsid w:val="0089049E"/>
    <w:rsid w:val="008A0E79"/>
    <w:rsid w:val="008A71F3"/>
    <w:rsid w:val="008B5FD1"/>
    <w:rsid w:val="008B7A99"/>
    <w:rsid w:val="008C0B5F"/>
    <w:rsid w:val="008C309D"/>
    <w:rsid w:val="008D1184"/>
    <w:rsid w:val="008D357A"/>
    <w:rsid w:val="008D3EB3"/>
    <w:rsid w:val="008D638E"/>
    <w:rsid w:val="008E514B"/>
    <w:rsid w:val="008F2F51"/>
    <w:rsid w:val="00920BCB"/>
    <w:rsid w:val="009338CB"/>
    <w:rsid w:val="009351D7"/>
    <w:rsid w:val="009365FC"/>
    <w:rsid w:val="00941DE2"/>
    <w:rsid w:val="00943FD9"/>
    <w:rsid w:val="00955955"/>
    <w:rsid w:val="00963E4F"/>
    <w:rsid w:val="00966FB2"/>
    <w:rsid w:val="009919C2"/>
    <w:rsid w:val="00994F75"/>
    <w:rsid w:val="009A10BA"/>
    <w:rsid w:val="009B1067"/>
    <w:rsid w:val="009B63F0"/>
    <w:rsid w:val="009C08CF"/>
    <w:rsid w:val="009E2202"/>
    <w:rsid w:val="009E4D7C"/>
    <w:rsid w:val="009F4134"/>
    <w:rsid w:val="00A01BA0"/>
    <w:rsid w:val="00A0248C"/>
    <w:rsid w:val="00A02DB6"/>
    <w:rsid w:val="00A14860"/>
    <w:rsid w:val="00A42358"/>
    <w:rsid w:val="00A46D01"/>
    <w:rsid w:val="00A47F1F"/>
    <w:rsid w:val="00A51C5D"/>
    <w:rsid w:val="00A529B4"/>
    <w:rsid w:val="00A57030"/>
    <w:rsid w:val="00A651E1"/>
    <w:rsid w:val="00A665F0"/>
    <w:rsid w:val="00A70A9E"/>
    <w:rsid w:val="00A77C99"/>
    <w:rsid w:val="00A968EC"/>
    <w:rsid w:val="00A9695D"/>
    <w:rsid w:val="00A9773C"/>
    <w:rsid w:val="00AB1BFE"/>
    <w:rsid w:val="00AB1C76"/>
    <w:rsid w:val="00AB486F"/>
    <w:rsid w:val="00AB68D3"/>
    <w:rsid w:val="00AB7734"/>
    <w:rsid w:val="00AC7242"/>
    <w:rsid w:val="00AC7944"/>
    <w:rsid w:val="00AD6A05"/>
    <w:rsid w:val="00AD7EE1"/>
    <w:rsid w:val="00AE477D"/>
    <w:rsid w:val="00B02E91"/>
    <w:rsid w:val="00B35BBF"/>
    <w:rsid w:val="00B37B82"/>
    <w:rsid w:val="00B4390E"/>
    <w:rsid w:val="00B462DC"/>
    <w:rsid w:val="00B47234"/>
    <w:rsid w:val="00B51CA7"/>
    <w:rsid w:val="00B62426"/>
    <w:rsid w:val="00B64B7E"/>
    <w:rsid w:val="00B84C5C"/>
    <w:rsid w:val="00B9431D"/>
    <w:rsid w:val="00B95AA4"/>
    <w:rsid w:val="00BA1DC0"/>
    <w:rsid w:val="00BA435B"/>
    <w:rsid w:val="00BA7E6B"/>
    <w:rsid w:val="00BB0BBA"/>
    <w:rsid w:val="00BB17E6"/>
    <w:rsid w:val="00BC0E95"/>
    <w:rsid w:val="00BD49F7"/>
    <w:rsid w:val="00BD4A59"/>
    <w:rsid w:val="00BD752B"/>
    <w:rsid w:val="00BE0256"/>
    <w:rsid w:val="00BF3222"/>
    <w:rsid w:val="00BF3945"/>
    <w:rsid w:val="00BF5CD5"/>
    <w:rsid w:val="00BF7D13"/>
    <w:rsid w:val="00C21EA2"/>
    <w:rsid w:val="00C2555B"/>
    <w:rsid w:val="00C4093F"/>
    <w:rsid w:val="00C41F51"/>
    <w:rsid w:val="00C42E11"/>
    <w:rsid w:val="00C55B1A"/>
    <w:rsid w:val="00C55DDF"/>
    <w:rsid w:val="00C6193C"/>
    <w:rsid w:val="00C642D1"/>
    <w:rsid w:val="00C7657F"/>
    <w:rsid w:val="00C909AC"/>
    <w:rsid w:val="00C942BD"/>
    <w:rsid w:val="00C955E9"/>
    <w:rsid w:val="00C95FA1"/>
    <w:rsid w:val="00CB0F82"/>
    <w:rsid w:val="00CB253E"/>
    <w:rsid w:val="00CB5B03"/>
    <w:rsid w:val="00CC4556"/>
    <w:rsid w:val="00CE6A87"/>
    <w:rsid w:val="00D03D71"/>
    <w:rsid w:val="00D042ED"/>
    <w:rsid w:val="00D16719"/>
    <w:rsid w:val="00D2589E"/>
    <w:rsid w:val="00D27168"/>
    <w:rsid w:val="00D35E66"/>
    <w:rsid w:val="00D414BE"/>
    <w:rsid w:val="00D42EAC"/>
    <w:rsid w:val="00D61CEC"/>
    <w:rsid w:val="00D62693"/>
    <w:rsid w:val="00D6344F"/>
    <w:rsid w:val="00D73343"/>
    <w:rsid w:val="00D742E4"/>
    <w:rsid w:val="00D76C36"/>
    <w:rsid w:val="00D7741E"/>
    <w:rsid w:val="00D808F0"/>
    <w:rsid w:val="00D821D4"/>
    <w:rsid w:val="00D83B85"/>
    <w:rsid w:val="00D964A2"/>
    <w:rsid w:val="00DA0962"/>
    <w:rsid w:val="00DB52AA"/>
    <w:rsid w:val="00DB6483"/>
    <w:rsid w:val="00DE1581"/>
    <w:rsid w:val="00DE1900"/>
    <w:rsid w:val="00DE1BE0"/>
    <w:rsid w:val="00E00310"/>
    <w:rsid w:val="00E01AE9"/>
    <w:rsid w:val="00E03467"/>
    <w:rsid w:val="00E035D7"/>
    <w:rsid w:val="00E07BA8"/>
    <w:rsid w:val="00E23422"/>
    <w:rsid w:val="00E27FA2"/>
    <w:rsid w:val="00E309D6"/>
    <w:rsid w:val="00E365F8"/>
    <w:rsid w:val="00E43F53"/>
    <w:rsid w:val="00E45297"/>
    <w:rsid w:val="00E47C98"/>
    <w:rsid w:val="00E65B27"/>
    <w:rsid w:val="00E70DCF"/>
    <w:rsid w:val="00E910BB"/>
    <w:rsid w:val="00EA673D"/>
    <w:rsid w:val="00EB1DC8"/>
    <w:rsid w:val="00EB3646"/>
    <w:rsid w:val="00EC0CEB"/>
    <w:rsid w:val="00EC4DAB"/>
    <w:rsid w:val="00EE26DD"/>
    <w:rsid w:val="00EF1AAD"/>
    <w:rsid w:val="00EF2CB0"/>
    <w:rsid w:val="00F051FC"/>
    <w:rsid w:val="00F10921"/>
    <w:rsid w:val="00F10C55"/>
    <w:rsid w:val="00F1469E"/>
    <w:rsid w:val="00F20F40"/>
    <w:rsid w:val="00F46AC3"/>
    <w:rsid w:val="00F50BBE"/>
    <w:rsid w:val="00F51ADF"/>
    <w:rsid w:val="00F5447B"/>
    <w:rsid w:val="00F572FB"/>
    <w:rsid w:val="00F632A6"/>
    <w:rsid w:val="00F674FA"/>
    <w:rsid w:val="00F70898"/>
    <w:rsid w:val="00F75757"/>
    <w:rsid w:val="00F77349"/>
    <w:rsid w:val="00F7741D"/>
    <w:rsid w:val="00F80709"/>
    <w:rsid w:val="00F91D8C"/>
    <w:rsid w:val="00F923BA"/>
    <w:rsid w:val="00F95CCD"/>
    <w:rsid w:val="00FA48DC"/>
    <w:rsid w:val="00FB4110"/>
    <w:rsid w:val="00FB67F4"/>
    <w:rsid w:val="00FC2CF0"/>
    <w:rsid w:val="00FC3C9D"/>
    <w:rsid w:val="00FD3FC7"/>
    <w:rsid w:val="00FE4177"/>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067"/>
    <w:pPr>
      <w:spacing w:after="0" w:line="240" w:lineRule="auto"/>
      <w:ind w:left="0" w:firstLine="0"/>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4B0067"/>
    <w:pPr>
      <w:shd w:val="clear" w:color="auto" w:fill="7F7F7F" w:themeFill="text1" w:themeFillTint="80"/>
      <w:spacing w:after="0" w:line="240" w:lineRule="auto"/>
      <w:ind w:left="0" w:firstLine="0"/>
      <w:outlineLvl w:val="1"/>
    </w:pPr>
    <w:rPr>
      <w:color w:val="F2F2F2" w:themeColor="background1" w:themeShade="F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3A7"/>
    <w:pPr>
      <w:contextualSpacing/>
    </w:pPr>
  </w:style>
  <w:style w:type="paragraph" w:customStyle="1" w:styleId="Default">
    <w:name w:val="Default"/>
    <w:rsid w:val="00F75757"/>
    <w:pPr>
      <w:autoSpaceDE w:val="0"/>
      <w:autoSpaceDN w:val="0"/>
      <w:adjustRightInd w:val="0"/>
      <w:spacing w:after="0" w:line="240" w:lineRule="auto"/>
      <w:ind w:left="0" w:firstLine="0"/>
    </w:pPr>
    <w:rPr>
      <w:rFonts w:ascii="Calibri" w:hAnsi="Calibri" w:cs="Calibri"/>
      <w:color w:val="000000"/>
      <w:sz w:val="24"/>
      <w:szCs w:val="24"/>
    </w:rPr>
  </w:style>
  <w:style w:type="paragraph" w:styleId="Header">
    <w:name w:val="header"/>
    <w:basedOn w:val="Normal"/>
    <w:link w:val="HeaderChar"/>
    <w:uiPriority w:val="99"/>
    <w:unhideWhenUsed/>
    <w:rsid w:val="008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4B"/>
  </w:style>
  <w:style w:type="paragraph" w:styleId="Footer">
    <w:name w:val="footer"/>
    <w:basedOn w:val="Normal"/>
    <w:link w:val="FooterChar"/>
    <w:uiPriority w:val="99"/>
    <w:unhideWhenUsed/>
    <w:rsid w:val="008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4B"/>
  </w:style>
  <w:style w:type="character" w:customStyle="1" w:styleId="Heading1Char">
    <w:name w:val="Heading 1 Char"/>
    <w:basedOn w:val="DefaultParagraphFont"/>
    <w:link w:val="Heading1"/>
    <w:uiPriority w:val="9"/>
    <w:rsid w:val="004B0067"/>
    <w:rPr>
      <w:rFonts w:ascii="Calibri" w:eastAsia="Calibri" w:hAnsi="Calibri" w:cs="Calibri"/>
      <w:b/>
      <w:bCs/>
      <w:color w:val="FFFFFF" w:themeColor="background1"/>
      <w:spacing w:val="-14"/>
      <w:position w:val="2"/>
      <w:sz w:val="72"/>
      <w:szCs w:val="52"/>
    </w:rPr>
  </w:style>
  <w:style w:type="character" w:customStyle="1" w:styleId="Heading2Char">
    <w:name w:val="Heading 2 Char"/>
    <w:basedOn w:val="DefaultParagraphFont"/>
    <w:link w:val="Heading2"/>
    <w:uiPriority w:val="9"/>
    <w:rsid w:val="004B0067"/>
    <w:rPr>
      <w:color w:val="F2F2F2" w:themeColor="background1" w:themeShade="F2"/>
      <w:sz w:val="40"/>
      <w:szCs w:val="40"/>
      <w:shd w:val="clear" w:color="auto" w:fill="7F7F7F" w:themeFill="text1" w:themeFillTint="80"/>
    </w:rPr>
  </w:style>
  <w:style w:type="table" w:styleId="TableGrid">
    <w:name w:val="Table Grid"/>
    <w:basedOn w:val="TableNormal"/>
    <w:uiPriority w:val="39"/>
    <w:rsid w:val="004B0067"/>
    <w:pPr>
      <w:spacing w:after="0"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432D"/>
    <w:pPr>
      <w:spacing w:after="0" w:line="240" w:lineRule="auto"/>
      <w:ind w:left="0" w:firstLine="0"/>
    </w:pPr>
  </w:style>
  <w:style w:type="character" w:styleId="CommentReference">
    <w:name w:val="annotation reference"/>
    <w:basedOn w:val="DefaultParagraphFont"/>
    <w:uiPriority w:val="99"/>
    <w:semiHidden/>
    <w:unhideWhenUsed/>
    <w:rsid w:val="0043432D"/>
    <w:rPr>
      <w:sz w:val="16"/>
      <w:szCs w:val="16"/>
    </w:rPr>
  </w:style>
  <w:style w:type="paragraph" w:styleId="CommentText">
    <w:name w:val="annotation text"/>
    <w:basedOn w:val="Normal"/>
    <w:link w:val="CommentTextChar"/>
    <w:uiPriority w:val="99"/>
    <w:unhideWhenUsed/>
    <w:rsid w:val="0043432D"/>
    <w:pPr>
      <w:spacing w:line="240" w:lineRule="auto"/>
    </w:pPr>
    <w:rPr>
      <w:sz w:val="20"/>
      <w:szCs w:val="20"/>
    </w:rPr>
  </w:style>
  <w:style w:type="character" w:customStyle="1" w:styleId="CommentTextChar">
    <w:name w:val="Comment Text Char"/>
    <w:basedOn w:val="DefaultParagraphFont"/>
    <w:link w:val="CommentText"/>
    <w:uiPriority w:val="99"/>
    <w:rsid w:val="0043432D"/>
    <w:rPr>
      <w:sz w:val="20"/>
      <w:szCs w:val="20"/>
    </w:rPr>
  </w:style>
  <w:style w:type="paragraph" w:styleId="CommentSubject">
    <w:name w:val="annotation subject"/>
    <w:basedOn w:val="CommentText"/>
    <w:next w:val="CommentText"/>
    <w:link w:val="CommentSubjectChar"/>
    <w:uiPriority w:val="99"/>
    <w:semiHidden/>
    <w:unhideWhenUsed/>
    <w:rsid w:val="0043432D"/>
    <w:rPr>
      <w:b/>
      <w:bCs/>
    </w:rPr>
  </w:style>
  <w:style w:type="character" w:customStyle="1" w:styleId="CommentSubjectChar">
    <w:name w:val="Comment Subject Char"/>
    <w:basedOn w:val="CommentTextChar"/>
    <w:link w:val="CommentSubject"/>
    <w:uiPriority w:val="99"/>
    <w:semiHidden/>
    <w:rsid w:val="0043432D"/>
    <w:rPr>
      <w:b/>
      <w:bCs/>
      <w:sz w:val="20"/>
      <w:szCs w:val="20"/>
    </w:rPr>
  </w:style>
  <w:style w:type="paragraph" w:styleId="NormalWeb">
    <w:name w:val="Normal (Web)"/>
    <w:basedOn w:val="Normal"/>
    <w:uiPriority w:val="99"/>
    <w:semiHidden/>
    <w:unhideWhenUsed/>
    <w:rsid w:val="00BA1DC0"/>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258">
      <w:bodyDiv w:val="1"/>
      <w:marLeft w:val="0"/>
      <w:marRight w:val="0"/>
      <w:marTop w:val="0"/>
      <w:marBottom w:val="0"/>
      <w:divBdr>
        <w:top w:val="none" w:sz="0" w:space="0" w:color="auto"/>
        <w:left w:val="none" w:sz="0" w:space="0" w:color="auto"/>
        <w:bottom w:val="none" w:sz="0" w:space="0" w:color="auto"/>
        <w:right w:val="none" w:sz="0" w:space="0" w:color="auto"/>
      </w:divBdr>
    </w:div>
    <w:div w:id="287131093">
      <w:bodyDiv w:val="1"/>
      <w:marLeft w:val="0"/>
      <w:marRight w:val="0"/>
      <w:marTop w:val="0"/>
      <w:marBottom w:val="0"/>
      <w:divBdr>
        <w:top w:val="none" w:sz="0" w:space="0" w:color="auto"/>
        <w:left w:val="none" w:sz="0" w:space="0" w:color="auto"/>
        <w:bottom w:val="none" w:sz="0" w:space="0" w:color="auto"/>
        <w:right w:val="none" w:sz="0" w:space="0" w:color="auto"/>
      </w:divBdr>
    </w:div>
    <w:div w:id="14826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09843A62F9E64082D475D70A5816C1" ma:contentTypeVersion="12" ma:contentTypeDescription="Create a new document." ma:contentTypeScope="" ma:versionID="02fc37d3fe4fec728450cac8296d5c7e">
  <xsd:schema xmlns:xsd="http://www.w3.org/2001/XMLSchema" xmlns:xs="http://www.w3.org/2001/XMLSchema" xmlns:p="http://schemas.microsoft.com/office/2006/metadata/properties" xmlns:ns2="668e480f-ec8f-4652-b656-ed35dea04eb6" xmlns:ns3="0d841d9d-80e8-4c3c-b18e-8392ca19111e" targetNamespace="http://schemas.microsoft.com/office/2006/metadata/properties" ma:root="true" ma:fieldsID="476d1711abd7a126e9241a4be089a77e" ns2:_="" ns3:_="">
    <xsd:import namespace="668e480f-ec8f-4652-b656-ed35dea04eb6"/>
    <xsd:import namespace="0d841d9d-80e8-4c3c-b18e-8392ca191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80f-ec8f-4652-b656-ed35dea0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1d9d-80e8-4c3c-b18e-8392ca1911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C70E5-654E-43FD-8AB1-73E10A077B0A}">
  <ds:schemaRefs>
    <ds:schemaRef ds:uri="http://schemas.openxmlformats.org/officeDocument/2006/bibliography"/>
  </ds:schemaRefs>
</ds:datastoreItem>
</file>

<file path=customXml/itemProps2.xml><?xml version="1.0" encoding="utf-8"?>
<ds:datastoreItem xmlns:ds="http://schemas.openxmlformats.org/officeDocument/2006/customXml" ds:itemID="{4C289DFE-F66A-479D-BE62-C0C985706655}"/>
</file>

<file path=customXml/itemProps3.xml><?xml version="1.0" encoding="utf-8"?>
<ds:datastoreItem xmlns:ds="http://schemas.openxmlformats.org/officeDocument/2006/customXml" ds:itemID="{B911C7C8-E756-4622-AAAA-F7134DEB6D33}"/>
</file>

<file path=customXml/itemProps4.xml><?xml version="1.0" encoding="utf-8"?>
<ds:datastoreItem xmlns:ds="http://schemas.openxmlformats.org/officeDocument/2006/customXml" ds:itemID="{71B00C0A-AE99-4305-AD57-C088666B08FA}"/>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5454</Characters>
  <Application>Microsoft Office Word</Application>
  <DocSecurity>0</DocSecurity>
  <Lines>237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2022-03-31T06:26:00Z</dcterms:created>
  <dcterms:modified xsi:type="dcterms:W3CDTF">2022-03-31T06:26:00Z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0x0101008109843A62F9E64082D475D70A5816C1</vt:lpwstr>
  </property>
</Properties>
</file>